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444"/>
        <w:gridCol w:w="138"/>
        <w:gridCol w:w="1275"/>
        <w:gridCol w:w="569"/>
        <w:gridCol w:w="564"/>
        <w:gridCol w:w="417"/>
        <w:gridCol w:w="13"/>
        <w:gridCol w:w="707"/>
        <w:gridCol w:w="567"/>
        <w:gridCol w:w="139"/>
        <w:gridCol w:w="406"/>
        <w:gridCol w:w="296"/>
        <w:gridCol w:w="293"/>
        <w:gridCol w:w="427"/>
        <w:gridCol w:w="116"/>
        <w:gridCol w:w="26"/>
        <w:gridCol w:w="411"/>
        <w:gridCol w:w="865"/>
        <w:gridCol w:w="567"/>
      </w:tblGrid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7674D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57255" w:rsidRDefault="0097674D" w:rsidP="0097674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3011E6" w:rsidRDefault="0097674D" w:rsidP="0097674D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3011E6">
              <w:rPr>
                <w:rFonts w:ascii="Tahoma" w:hAnsi="Tahoma" w:cs="Tahoma"/>
                <w:b/>
                <w:szCs w:val="18"/>
                <w:lang w:val="es-ES_tradnl"/>
              </w:rPr>
              <w:t>Economía de la migración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57255" w:rsidRDefault="0097674D" w:rsidP="0097674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186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0059FE" w:rsidRDefault="0097674D" w:rsidP="0097674D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</w:t>
            </w: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A850DB" w:rsidTr="00FE0E23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7A400B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7A400B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5F7BA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1pt;height:19pt" o:ole="">
                  <v:imagedata r:id="rId8" o:title=""/>
                </v:shape>
                <w:control r:id="rId9" w:name="CheckBox4" w:shapeid="_x0000_i1049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1" type="#_x0000_t75" style="width:58.75pt;height:19pt" o:ole="">
                  <v:imagedata r:id="rId10" o:title=""/>
                </v:shape>
                <w:control r:id="rId11" w:name="CheckBox5" w:shapeid="_x0000_i1051"/>
              </w:objec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3" type="#_x0000_t75" style="width:79.5pt;height:19pt" o:ole="">
                  <v:imagedata r:id="rId12" o:title=""/>
                </v:shape>
                <w:control r:id="rId13" w:name="CheckBox6" w:shapeid="_x0000_i1053"/>
              </w:objec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47.8pt;height:19pt" o:ole="">
                  <v:imagedata r:id="rId14" o:title=""/>
                </v:shape>
                <w:control r:id="rId15" w:name="CheckBox1" w:shapeid="_x0000_i1055"/>
              </w:objec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62.2pt;height:19pt" o:ole="">
                  <v:imagedata r:id="rId16" o:title=""/>
                </v:shape>
                <w:control r:id="rId17" w:name="CheckBox2" w:shapeid="_x0000_i1057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9pt" o:ole="">
                  <v:imagedata r:id="rId18" o:title=""/>
                </v:shape>
                <w:control r:id="rId19" w:name="CheckBox3" w:shapeid="_x0000_i1059"/>
              </w:object>
            </w:r>
          </w:p>
        </w:tc>
      </w:tr>
      <w:tr w:rsidR="009B6F4D" w:rsidRPr="00A850DB" w:rsidTr="00FE0E23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317666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8pt;height:19pt" o:ole="">
                  <v:imagedata r:id="rId20" o:title=""/>
                </v:shape>
                <w:control r:id="rId21" w:name="CheckBox7" w:shapeid="_x0000_i1061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91pt;height:19pt" o:ole="">
                  <v:imagedata r:id="rId22" o:title=""/>
                </v:shape>
                <w:control r:id="rId23" w:name="CheckBox8" w:shapeid="_x0000_i1063"/>
              </w:objec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9B6F4D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</w:t>
            </w:r>
            <w:r w:rsidR="009B6F4D"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850DB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40.3pt;height:19pt" o:ole="">
                  <v:imagedata r:id="rId24" o:title=""/>
                </v:shape>
                <w:control r:id="rId25" w:name="CheckBox9" w:shapeid="_x0000_i1065"/>
              </w:object>
            </w:r>
          </w:p>
        </w:tc>
        <w:tc>
          <w:tcPr>
            <w:tcW w:w="14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40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7" type="#_x0000_t75" style="width:38pt;height:19pt" o:ole="">
                  <v:imagedata r:id="rId26" o:title=""/>
                </v:shape>
                <w:control r:id="rId27" w:name="CheckBox10" w:shapeid="_x0000_i1067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317666" w:rsidRPr="00A850DB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69" type="#_x0000_t75" style="width:66.25pt;height:19pt" o:ole="">
                  <v:imagedata r:id="rId28" o:title=""/>
                </v:shape>
                <w:control r:id="rId29" w:name="CheckBox11" w:shapeid="_x0000_i1069"/>
              </w:objec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B6F4D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A850D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A850DB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1" type="#_x0000_t75" style="width:107.15pt;height:17.85pt" o:ole="">
                  <v:imagedata r:id="rId30" o:title=""/>
                </v:shape>
                <w:control r:id="rId31" w:name="TextBox1" w:shapeid="_x0000_i1071"/>
              </w:object>
            </w:r>
          </w:p>
        </w:tc>
      </w:tr>
      <w:tr w:rsidR="009B6F4D" w:rsidRPr="00A850DB" w:rsidTr="00FE0E23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795F68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6OP21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4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FE0E23">
        <w:trPr>
          <w:trHeight w:val="454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2372F5" w:rsidRDefault="0097674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72F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2372F5" w:rsidRDefault="0097674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72F5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5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FE0E23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FA506D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059F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97674D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57255" w:rsidRDefault="0097674D" w:rsidP="0097674D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 la/el estudiante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164748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164748">
              <w:rPr>
                <w:rFonts w:ascii="Tahoma" w:hAnsi="Tahoma" w:cs="Tahoma"/>
                <w:sz w:val="18"/>
                <w:szCs w:val="18"/>
                <w:lang w:val="es-ES"/>
              </w:rPr>
              <w:t xml:space="preserve">Conocimiento de: </w:t>
            </w:r>
          </w:p>
          <w:p w:rsidR="0097674D" w:rsidRPr="00164748" w:rsidRDefault="0097674D" w:rsidP="0016488D">
            <w:pPr>
              <w:widowControl/>
              <w:numPr>
                <w:ilvl w:val="0"/>
                <w:numId w:val="7"/>
              </w:numPr>
              <w:adjustRightInd/>
              <w:spacing w:before="120" w:line="240" w:lineRule="auto"/>
              <w:ind w:left="175" w:hanging="142"/>
              <w:textAlignment w:val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Enfoques teórico</w:t>
            </w:r>
            <w:r w:rsidRPr="00164748">
              <w:rPr>
                <w:rFonts w:ascii="Tahoma" w:hAnsi="Tahoma" w:cs="Tahoma"/>
                <w:sz w:val="18"/>
                <w:szCs w:val="18"/>
                <w:lang w:val="es-ES"/>
              </w:rPr>
              <w:t xml:space="preserve">-conceptuales y metodológicos sobre el estudio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 la migración desde una perspectiva</w:t>
            </w:r>
            <w:r w:rsidR="00517A6C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la ciencia económica</w:t>
            </w:r>
            <w:r w:rsidRPr="00164748">
              <w:rPr>
                <w:rFonts w:ascii="Tahoma" w:hAnsi="Tahoma" w:cs="Tahoma"/>
                <w:sz w:val="18"/>
                <w:szCs w:val="18"/>
                <w:lang w:val="es-ES"/>
              </w:rPr>
              <w:t>.</w:t>
            </w:r>
          </w:p>
          <w:p w:rsidR="0097674D" w:rsidRPr="00164748" w:rsidRDefault="0097674D" w:rsidP="0016488D">
            <w:pPr>
              <w:widowControl/>
              <w:numPr>
                <w:ilvl w:val="0"/>
                <w:numId w:val="7"/>
              </w:numPr>
              <w:adjustRightInd/>
              <w:spacing w:before="120" w:line="240" w:lineRule="auto"/>
              <w:ind w:left="175" w:hanging="142"/>
              <w:textAlignment w:val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164748">
              <w:rPr>
                <w:rFonts w:ascii="Tahoma" w:hAnsi="Tahoma" w:cs="Tahoma"/>
                <w:sz w:val="18"/>
                <w:szCs w:val="18"/>
                <w:lang w:val="es-ES"/>
              </w:rPr>
              <w:t>Pensamiento crítico sobre los factores que afectan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a</w:t>
            </w:r>
            <w:r w:rsidRPr="00164748">
              <w:rPr>
                <w:rFonts w:ascii="Tahoma" w:hAnsi="Tahoma" w:cs="Tahoma"/>
                <w:sz w:val="18"/>
                <w:szCs w:val="18"/>
                <w:lang w:val="es-ES"/>
              </w:rPr>
              <w:t xml:space="preserve"> la migración. </w:t>
            </w:r>
          </w:p>
          <w:p w:rsidR="0097674D" w:rsidRPr="00164748" w:rsidRDefault="00517A6C" w:rsidP="0016488D">
            <w:pPr>
              <w:widowControl/>
              <w:numPr>
                <w:ilvl w:val="0"/>
                <w:numId w:val="7"/>
              </w:numPr>
              <w:adjustRightInd/>
              <w:spacing w:before="120" w:line="240" w:lineRule="auto"/>
              <w:ind w:left="175" w:hanging="142"/>
              <w:textAlignment w:val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Consecuencia económicas de la migración de la fuerza de tr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es-ES"/>
              </w:rPr>
              <w:t>abajo en aspectos económicos y sociales del país, de importancia para el diseño de políticas de desarrollo social.</w:t>
            </w:r>
          </w:p>
          <w:p w:rsidR="0097674D" w:rsidRPr="00164748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164748">
              <w:rPr>
                <w:rFonts w:ascii="Tahoma" w:hAnsi="Tahoma" w:cs="Tahoma"/>
                <w:sz w:val="18"/>
                <w:szCs w:val="18"/>
                <w:lang w:val="es-ES"/>
              </w:rPr>
              <w:t>Habilidades para:</w:t>
            </w:r>
          </w:p>
          <w:p w:rsidR="0097674D" w:rsidRPr="00E1108E" w:rsidRDefault="0097674D" w:rsidP="0016488D">
            <w:pPr>
              <w:widowControl/>
              <w:numPr>
                <w:ilvl w:val="0"/>
                <w:numId w:val="8"/>
              </w:numPr>
              <w:adjustRightInd/>
              <w:spacing w:before="120" w:line="240" w:lineRule="auto"/>
              <w:ind w:left="175" w:hanging="142"/>
              <w:textAlignment w:val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7057F7">
              <w:rPr>
                <w:rFonts w:ascii="Tahoma" w:hAnsi="Tahoma" w:cs="Tahoma"/>
                <w:sz w:val="18"/>
                <w:szCs w:val="18"/>
                <w:lang w:val="es-ES"/>
              </w:rPr>
              <w:t xml:space="preserve">Desarrollar métodos y modelos para analizar los escenarios que enfrentan los agentes económicos ante sus decisiones de migrar. </w:t>
            </w:r>
          </w:p>
        </w:tc>
      </w:tr>
      <w:tr w:rsidR="0097674D" w:rsidRPr="00A850DB" w:rsidTr="00FE0E23">
        <w:trPr>
          <w:trHeight w:val="1069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57255" w:rsidRDefault="0097674D" w:rsidP="0097674D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7057F7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En esta asignatura se analiza</w:t>
            </w:r>
            <w:r w:rsidRPr="007057F7">
              <w:rPr>
                <w:rFonts w:ascii="Tahoma" w:hAnsi="Tahoma" w:cs="Tahoma"/>
                <w:sz w:val="18"/>
                <w:szCs w:val="18"/>
                <w:lang w:val="es-ES_tradnl"/>
              </w:rPr>
              <w:t>n los métodos y modelos que se han utilizado en el estudio de la migración. Se promueve el</w:t>
            </w:r>
            <w:r w:rsidRPr="007057F7">
              <w:rPr>
                <w:rFonts w:ascii="Tahoma" w:hAnsi="Tahoma" w:cs="Tahoma"/>
                <w:sz w:val="18"/>
                <w:szCs w:val="18"/>
              </w:rPr>
              <w:t xml:space="preserve"> conocimiento sobre las principales teorías de la economía de la migración, entre las que destacan los trabajos seminales de Lewis, la modelización iniciada por Harris-</w:t>
            </w:r>
            <w:proofErr w:type="spellStart"/>
            <w:r w:rsidRPr="007057F7">
              <w:rPr>
                <w:rFonts w:ascii="Tahoma" w:hAnsi="Tahoma" w:cs="Tahoma"/>
                <w:sz w:val="18"/>
                <w:szCs w:val="18"/>
              </w:rPr>
              <w:t>Todaro</w:t>
            </w:r>
            <w:proofErr w:type="spellEnd"/>
            <w:r w:rsidRPr="007057F7">
              <w:rPr>
                <w:rFonts w:ascii="Tahoma" w:hAnsi="Tahoma" w:cs="Tahoma"/>
                <w:sz w:val="18"/>
                <w:szCs w:val="18"/>
              </w:rPr>
              <w:t>, la visión de la escuela inglesa de la economía de la migración, y los avances más recientes en el campo de la nueva economía de la migración postulada desde el campo de la nueva macroeconomía clásica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Lucas. Asimismo, se revisa</w:t>
            </w:r>
            <w:r w:rsidRPr="007057F7">
              <w:rPr>
                <w:rFonts w:ascii="Tahoma" w:hAnsi="Tahoma" w:cs="Tahoma"/>
                <w:sz w:val="18"/>
                <w:szCs w:val="18"/>
              </w:rPr>
              <w:t>n los principales estudios aplicados en esa disciplina incluyendo trabajo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7057F7">
              <w:rPr>
                <w:rFonts w:ascii="Tahoma" w:hAnsi="Tahoma" w:cs="Tahoma"/>
                <w:sz w:val="18"/>
                <w:szCs w:val="18"/>
              </w:rPr>
              <w:t xml:space="preserve"> de Borjas y Stark, entre otros.</w:t>
            </w:r>
          </w:p>
          <w:p w:rsidR="0097674D" w:rsidRPr="00A850DB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7F7">
              <w:rPr>
                <w:rFonts w:ascii="Tahoma" w:hAnsi="Tahoma" w:cs="Tahoma"/>
                <w:sz w:val="18"/>
                <w:szCs w:val="18"/>
              </w:rPr>
              <w:t>Por su importancia, en este curso ta</w:t>
            </w:r>
            <w:r>
              <w:rPr>
                <w:rFonts w:ascii="Tahoma" w:hAnsi="Tahoma" w:cs="Tahoma"/>
                <w:sz w:val="18"/>
                <w:szCs w:val="18"/>
              </w:rPr>
              <w:t>mbién se brinda un acercamiento</w:t>
            </w:r>
            <w:r w:rsidRPr="007057F7">
              <w:rPr>
                <w:rFonts w:ascii="Tahoma" w:hAnsi="Tahoma" w:cs="Tahoma"/>
                <w:sz w:val="18"/>
                <w:szCs w:val="18"/>
              </w:rPr>
              <w:t xml:space="preserve"> al papel que ti</w:t>
            </w:r>
            <w:r>
              <w:rPr>
                <w:rFonts w:ascii="Tahoma" w:hAnsi="Tahoma" w:cs="Tahoma"/>
                <w:sz w:val="18"/>
                <w:szCs w:val="18"/>
              </w:rPr>
              <w:t>enen las remesas en e</w:t>
            </w:r>
            <w:r w:rsidRPr="007057F7">
              <w:rPr>
                <w:rFonts w:ascii="Tahoma" w:hAnsi="Tahoma" w:cs="Tahoma"/>
                <w:sz w:val="18"/>
                <w:szCs w:val="18"/>
              </w:rPr>
              <w:t>l desarrollo de las comunidades expulsoras.</w:t>
            </w:r>
          </w:p>
        </w:tc>
      </w:tr>
      <w:tr w:rsidR="0097674D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57255" w:rsidRDefault="0097674D" w:rsidP="0097674D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7057F7" w:rsidRDefault="0097674D" w:rsidP="0097674D">
            <w:pPr>
              <w:spacing w:before="120" w:line="240" w:lineRule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7057F7">
              <w:rPr>
                <w:rFonts w:ascii="Tahoma" w:hAnsi="Tahoma" w:cs="Tahoma"/>
                <w:sz w:val="18"/>
                <w:szCs w:val="18"/>
                <w:lang w:val="es-ES_tradnl"/>
              </w:rPr>
              <w:t>Este curso se inserta en la parte teórica del programa y permite al estudiante mejorar sus conocimientos en cuanto a técnicas, así como el conocimiento de los modelos utilizados en estos estudios.</w:t>
            </w:r>
            <w:r w:rsidR="00937998" w:rsidRPr="00937998">
              <w:rPr>
                <w:rFonts w:ascii="Tahoma" w:hAnsi="Tahoma" w:cs="Tahoma"/>
                <w:sz w:val="18"/>
                <w:szCs w:val="18"/>
              </w:rPr>
              <w:t xml:space="preserve"> Esta asignatura atiende a la línea </w:t>
            </w:r>
            <w:r w:rsidR="004C6C14">
              <w:rPr>
                <w:rFonts w:ascii="Tahoma" w:hAnsi="Tahoma" w:cs="Tahoma"/>
                <w:sz w:val="18"/>
                <w:szCs w:val="18"/>
              </w:rPr>
              <w:t>de especialización de Economía L</w:t>
            </w:r>
            <w:r w:rsidR="00937998" w:rsidRPr="00937998">
              <w:rPr>
                <w:rFonts w:ascii="Tahoma" w:hAnsi="Tahoma" w:cs="Tahoma"/>
                <w:sz w:val="18"/>
                <w:szCs w:val="18"/>
              </w:rPr>
              <w:t>aboral.</w:t>
            </w:r>
          </w:p>
        </w:tc>
      </w:tr>
      <w:tr w:rsidR="0097674D" w:rsidRPr="00A850DB" w:rsidTr="00FE0E23">
        <w:trPr>
          <w:trHeight w:val="283"/>
        </w:trPr>
        <w:tc>
          <w:tcPr>
            <w:tcW w:w="23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57255" w:rsidRDefault="0097674D" w:rsidP="0097674D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7658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7057F7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057F7">
              <w:rPr>
                <w:rFonts w:ascii="Tahoma" w:hAnsi="Tahoma" w:cs="Tahoma"/>
                <w:sz w:val="18"/>
                <w:szCs w:val="18"/>
                <w:lang w:val="es-ES_tradnl"/>
              </w:rPr>
              <w:t>La materia permite al program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a articular un </w:t>
            </w:r>
            <w:r w:rsidR="000C64D0">
              <w:rPr>
                <w:rFonts w:ascii="Tahoma" w:hAnsi="Tahoma" w:cs="Tahoma"/>
                <w:sz w:val="18"/>
                <w:szCs w:val="18"/>
                <w:lang w:val="es-ES_tradnl"/>
              </w:rPr>
              <w:t>enfoque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teórico-</w:t>
            </w:r>
            <w:r w:rsidRPr="007057F7">
              <w:rPr>
                <w:rFonts w:ascii="Tahoma" w:hAnsi="Tahoma" w:cs="Tahoma"/>
                <w:sz w:val="18"/>
                <w:szCs w:val="18"/>
                <w:lang w:val="es-ES_tradnl"/>
              </w:rPr>
              <w:t>metodológico sobre los problemas a los que se enfrentan los individuos</w:t>
            </w:r>
            <w:r w:rsidR="000C64D0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y las familias</w:t>
            </w:r>
            <w:r w:rsidRPr="007057F7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C64D0">
              <w:rPr>
                <w:rFonts w:ascii="Tahoma" w:hAnsi="Tahoma" w:cs="Tahoma"/>
                <w:sz w:val="18"/>
                <w:szCs w:val="18"/>
                <w:lang w:val="es-ES_tradnl"/>
              </w:rPr>
              <w:t>en la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decisi</w:t>
            </w:r>
            <w:r w:rsidR="000C64D0">
              <w:rPr>
                <w:rFonts w:ascii="Tahoma" w:hAnsi="Tahoma" w:cs="Tahoma"/>
                <w:sz w:val="18"/>
                <w:szCs w:val="18"/>
                <w:lang w:val="es-ES_tradnl"/>
              </w:rPr>
              <w:t>ó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n de migrar, y cómo é</w:t>
            </w:r>
            <w:r w:rsidRPr="007057F7">
              <w:rPr>
                <w:rFonts w:ascii="Tahoma" w:hAnsi="Tahoma" w:cs="Tahoma"/>
                <w:sz w:val="18"/>
                <w:szCs w:val="18"/>
                <w:lang w:val="es-ES_tradnl"/>
              </w:rPr>
              <w:t>stas afectan al crecimiento y al desarrollo económico de los países de origen y destino.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E268F2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E268F2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Temario</w:t>
            </w:r>
          </w:p>
        </w:tc>
      </w:tr>
      <w:tr w:rsidR="008D25CA" w:rsidRPr="00A850DB" w:rsidTr="00FE0E23">
        <w:trPr>
          <w:trHeight w:val="283"/>
        </w:trPr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D25CA" w:rsidRPr="00810E60" w:rsidRDefault="008D25CA" w:rsidP="00FE0E2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t>1. Introducción a la economía de la migración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E12ADD" w:rsidRDefault="0097674D" w:rsidP="0097674D">
            <w:pPr>
              <w:spacing w:before="80" w:after="8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Conocer</w:t>
            </w:r>
            <w:r w:rsidRPr="00E12ADD">
              <w:rPr>
                <w:rFonts w:ascii="Tahoma" w:hAnsi="Tahoma" w:cs="Tahoma"/>
                <w:sz w:val="18"/>
                <w:szCs w:val="18"/>
              </w:rPr>
              <w:t xml:space="preserve"> los principales enfoques teóricos sobre la migración que se utilizan en economía.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Default="0097674D" w:rsidP="0097674D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1.1. Modelos de migración</w:t>
            </w:r>
          </w:p>
          <w:p w:rsidR="0097674D" w:rsidRDefault="0097674D" w:rsidP="0097674D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1.2. Efectos de la inmigración</w:t>
            </w:r>
          </w:p>
          <w:p w:rsidR="0097674D" w:rsidRDefault="0097674D" w:rsidP="0097674D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 xml:space="preserve">1.3. Efectos de la emigración </w:t>
            </w:r>
          </w:p>
          <w:p w:rsidR="0097674D" w:rsidRPr="00E12ADD" w:rsidRDefault="0097674D" w:rsidP="0097674D">
            <w:pPr>
              <w:pStyle w:val="Header"/>
              <w:widowControl/>
              <w:tabs>
                <w:tab w:val="clear" w:pos="4320"/>
                <w:tab w:val="clear" w:pos="8640"/>
              </w:tabs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 xml:space="preserve">1.4. </w:t>
            </w:r>
            <w:r w:rsidRPr="00E12ADD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 xml:space="preserve">Mercados de trabajo y </w:t>
            </w:r>
            <w:r w:rsidRPr="00E12ADD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lastRenderedPageBreak/>
              <w:t>migración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lastRenderedPageBreak/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Avances de ensayo crítico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lastRenderedPageBreak/>
              <w:t>Resolución de ejercicios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ListParagraph1"/>
              <w:tabs>
                <w:tab w:val="right" w:pos="360"/>
                <w:tab w:val="left" w:pos="540"/>
              </w:tabs>
              <w:spacing w:before="120"/>
              <w:ind w:left="0"/>
              <w:contextualSpacing w:val="0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372F5">
              <w:rPr>
                <w:rFonts w:ascii="Tahoma" w:hAnsi="Tahoma" w:cs="Tahoma"/>
                <w:sz w:val="18"/>
                <w:szCs w:val="18"/>
                <w:lang w:val="es-ES"/>
              </w:rPr>
              <w:lastRenderedPageBreak/>
              <w:t xml:space="preserve">2. </w:t>
            </w:r>
            <w:r w:rsidR="000C64D0" w:rsidRPr="002372F5">
              <w:rPr>
                <w:rFonts w:ascii="Tahoma" w:hAnsi="Tahoma" w:cs="Tahoma"/>
                <w:sz w:val="18"/>
                <w:szCs w:val="18"/>
                <w:lang w:val="es-ES"/>
              </w:rPr>
              <w:t>Los m</w:t>
            </w:r>
            <w:r w:rsidRPr="002372F5">
              <w:rPr>
                <w:rFonts w:ascii="Tahoma" w:hAnsi="Tahoma" w:cs="Tahoma"/>
                <w:sz w:val="18"/>
                <w:szCs w:val="18"/>
                <w:lang w:val="es-ES"/>
              </w:rPr>
              <w:t xml:space="preserve">odelos </w:t>
            </w:r>
            <w:r w:rsidR="000C64D0" w:rsidRPr="002372F5">
              <w:rPr>
                <w:rFonts w:ascii="Tahoma" w:hAnsi="Tahoma" w:cs="Tahoma"/>
                <w:sz w:val="18"/>
                <w:szCs w:val="18"/>
                <w:lang w:val="es-ES"/>
              </w:rPr>
              <w:t>de migración basados en la hipótesis del excedente de mano de obra.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7D2167" w:rsidRDefault="0097674D" w:rsidP="0097674D">
            <w:pPr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Conocer</w:t>
            </w:r>
            <w:r w:rsidRPr="007D2167">
              <w:rPr>
                <w:rFonts w:ascii="Tahoma" w:hAnsi="Tahoma" w:cs="Tahoma"/>
                <w:sz w:val="18"/>
                <w:szCs w:val="18"/>
              </w:rPr>
              <w:t xml:space="preserve"> los modelos </w:t>
            </w:r>
            <w:r w:rsidR="000C64D0">
              <w:rPr>
                <w:rFonts w:ascii="Tahoma" w:hAnsi="Tahoma" w:cs="Tahoma"/>
                <w:sz w:val="18"/>
                <w:szCs w:val="18"/>
              </w:rPr>
              <w:t>convencionales</w:t>
            </w:r>
            <w:r w:rsidRPr="007D2167">
              <w:rPr>
                <w:rFonts w:ascii="Tahoma" w:hAnsi="Tahoma" w:cs="Tahoma"/>
                <w:sz w:val="18"/>
                <w:szCs w:val="18"/>
              </w:rPr>
              <w:t xml:space="preserve"> de crecimiento económico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7D2167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 El modelo de Lewis</w:t>
            </w:r>
            <w:r w:rsidRPr="007D2167">
              <w:rPr>
                <w:rFonts w:ascii="Tahoma" w:hAnsi="Tahoma" w:cs="Tahoma"/>
                <w:sz w:val="18"/>
                <w:szCs w:val="18"/>
              </w:rPr>
              <w:t>, los modelos de de</w:t>
            </w:r>
            <w:r>
              <w:rPr>
                <w:rFonts w:ascii="Tahoma" w:hAnsi="Tahoma" w:cs="Tahoma"/>
                <w:sz w:val="18"/>
                <w:szCs w:val="18"/>
              </w:rPr>
              <w:t>sarrollo económico y migración</w:t>
            </w:r>
          </w:p>
          <w:p w:rsidR="0097674D" w:rsidRPr="007D2167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D2167">
              <w:rPr>
                <w:rFonts w:ascii="Tahoma" w:hAnsi="Tahoma" w:cs="Tahoma"/>
                <w:sz w:val="18"/>
                <w:szCs w:val="18"/>
              </w:rPr>
              <w:t>2.2.</w:t>
            </w:r>
            <w:r w:rsidR="00F75F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D2167">
              <w:rPr>
                <w:rFonts w:ascii="Tahoma" w:hAnsi="Tahoma" w:cs="Tahoma"/>
                <w:sz w:val="18"/>
                <w:szCs w:val="18"/>
              </w:rPr>
              <w:t>Modelo de migración con res</w:t>
            </w:r>
            <w:r>
              <w:rPr>
                <w:rFonts w:ascii="Tahoma" w:hAnsi="Tahoma" w:cs="Tahoma"/>
                <w:sz w:val="18"/>
                <w:szCs w:val="18"/>
              </w:rPr>
              <w:t>tricción externa al crecimiento</w:t>
            </w:r>
          </w:p>
          <w:p w:rsidR="0097674D" w:rsidRPr="007D2167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D2167">
              <w:rPr>
                <w:rFonts w:ascii="Tahoma" w:hAnsi="Tahoma" w:cs="Tahoma"/>
                <w:sz w:val="18"/>
                <w:szCs w:val="18"/>
              </w:rPr>
              <w:t>2.3. Modelo de Harris-</w:t>
            </w:r>
            <w:proofErr w:type="spellStart"/>
            <w:r w:rsidRPr="007D2167">
              <w:rPr>
                <w:rFonts w:ascii="Tahoma" w:hAnsi="Tahoma" w:cs="Tahoma"/>
                <w:sz w:val="18"/>
                <w:szCs w:val="18"/>
              </w:rPr>
              <w:t>Todaro</w:t>
            </w:r>
            <w:proofErr w:type="spellEnd"/>
          </w:p>
          <w:p w:rsidR="0097674D" w:rsidRPr="007D2167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D2167">
              <w:rPr>
                <w:rFonts w:ascii="Tahoma" w:hAnsi="Tahoma" w:cs="Tahoma"/>
                <w:sz w:val="18"/>
                <w:szCs w:val="18"/>
              </w:rPr>
              <w:t xml:space="preserve">2.4. Modelos que se apoyan en las teorías neoclásicas del crecimiento económico, partiendo de la derivación del modelo de </w:t>
            </w:r>
            <w:proofErr w:type="spellStart"/>
            <w:r w:rsidRPr="007D2167">
              <w:rPr>
                <w:rFonts w:ascii="Tahoma" w:hAnsi="Tahoma" w:cs="Tahoma"/>
                <w:sz w:val="18"/>
                <w:szCs w:val="18"/>
              </w:rPr>
              <w:t>Solow</w:t>
            </w:r>
            <w:proofErr w:type="spellEnd"/>
            <w:r w:rsidRPr="007D2167">
              <w:rPr>
                <w:rFonts w:ascii="Tahoma" w:hAnsi="Tahoma" w:cs="Tahoma"/>
                <w:sz w:val="18"/>
                <w:szCs w:val="18"/>
              </w:rPr>
              <w:t xml:space="preserve"> elaborada por Jones, y m</w:t>
            </w:r>
            <w:r>
              <w:rPr>
                <w:rFonts w:ascii="Tahoma" w:hAnsi="Tahoma" w:cs="Tahoma"/>
                <w:sz w:val="18"/>
                <w:szCs w:val="18"/>
              </w:rPr>
              <w:t xml:space="preserve">odelo de crecimiento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Solow-Swan</w:t>
            </w:r>
            <w:proofErr w:type="spellEnd"/>
          </w:p>
          <w:p w:rsidR="0097674D" w:rsidRPr="007D2167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D2167">
              <w:rPr>
                <w:rFonts w:ascii="Tahoma" w:hAnsi="Tahoma" w:cs="Tahoma"/>
                <w:sz w:val="18"/>
                <w:szCs w:val="18"/>
              </w:rPr>
              <w:t xml:space="preserve">2.5. Derivaciones para el estudio de la migración del modelo keynesiano y </w:t>
            </w:r>
            <w:proofErr w:type="spellStart"/>
            <w:r w:rsidRPr="007D2167">
              <w:rPr>
                <w:rFonts w:ascii="Tahoma" w:hAnsi="Tahoma" w:cs="Tahoma"/>
                <w:sz w:val="18"/>
                <w:szCs w:val="18"/>
              </w:rPr>
              <w:t>poskeynesian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crecimiento de corto plazo</w:t>
            </w:r>
          </w:p>
          <w:p w:rsidR="0097674D" w:rsidRPr="007D2167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D2167">
              <w:rPr>
                <w:rFonts w:ascii="Tahoma" w:hAnsi="Tahoma" w:cs="Tahoma"/>
                <w:sz w:val="18"/>
                <w:szCs w:val="18"/>
              </w:rPr>
              <w:t>2.6. Otros modelos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t>3. Segmentación laboral, desempleo y migración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154EC4" w:rsidRDefault="0097674D" w:rsidP="00F75F81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>Abordar la relación entre la migración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54EC4">
              <w:rPr>
                <w:rFonts w:ascii="Tahoma" w:hAnsi="Tahoma" w:cs="Tahoma"/>
                <w:sz w:val="18"/>
                <w:szCs w:val="18"/>
              </w:rPr>
              <w:t>la segmentación</w:t>
            </w:r>
            <w:r w:rsidR="00F75F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4EC4">
              <w:rPr>
                <w:rFonts w:ascii="Tahoma" w:hAnsi="Tahoma" w:cs="Tahoma"/>
                <w:sz w:val="18"/>
                <w:szCs w:val="18"/>
              </w:rPr>
              <w:t xml:space="preserve">laboral </w:t>
            </w:r>
            <w:r>
              <w:rPr>
                <w:rFonts w:ascii="Tahoma" w:hAnsi="Tahoma" w:cs="Tahoma"/>
                <w:sz w:val="18"/>
                <w:szCs w:val="18"/>
              </w:rPr>
              <w:t>y el desempleo.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154EC4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>1. Segmentación del mercado de t</w:t>
            </w:r>
            <w:r w:rsidRPr="00154EC4">
              <w:rPr>
                <w:rFonts w:ascii="Tahoma" w:hAnsi="Tahoma" w:cs="Tahoma"/>
                <w:sz w:val="18"/>
                <w:szCs w:val="18"/>
              </w:rPr>
              <w:t>rabajo</w:t>
            </w:r>
            <w:r>
              <w:rPr>
                <w:rFonts w:ascii="Tahoma" w:hAnsi="Tahoma" w:cs="Tahoma"/>
                <w:sz w:val="18"/>
                <w:szCs w:val="18"/>
              </w:rPr>
              <w:t xml:space="preserve">, en el sentido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Piore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54EC4">
              <w:rPr>
                <w:rFonts w:ascii="Tahoma" w:hAnsi="Tahoma" w:cs="Tahoma"/>
                <w:sz w:val="18"/>
                <w:szCs w:val="18"/>
              </w:rPr>
              <w:t>apli</w:t>
            </w:r>
            <w:r>
              <w:rPr>
                <w:rFonts w:ascii="Tahoma" w:hAnsi="Tahoma" w:cs="Tahoma"/>
                <w:sz w:val="18"/>
                <w:szCs w:val="18"/>
              </w:rPr>
              <w:t>cado explícitamente a migración</w:t>
            </w:r>
          </w:p>
          <w:p w:rsidR="0097674D" w:rsidRPr="00154EC4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>3.2. Modelo de Stiglitz y de Phelps sobre invariabilidad de las tasas de desempleo: mercados laborales, teorías de la invariabilidad de las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tasas de desempleo y migración</w:t>
            </w:r>
          </w:p>
          <w:p w:rsidR="0097674D" w:rsidRPr="00154EC4" w:rsidRDefault="0097674D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>3.3. La teoría de los mercados laborales segmentados o duales, y la migración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t xml:space="preserve">4. Modelos de emigración derivados de las teorías del comercio internacional </w:t>
            </w:r>
          </w:p>
        </w:tc>
        <w:tc>
          <w:tcPr>
            <w:tcW w:w="29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154EC4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>Conocer algunos de los modelos derivados de las teorías del comercio internacional que intentan explicar los procesos migratorios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 xml:space="preserve">4.1. El </w:t>
            </w:r>
            <w:r w:rsidRPr="004A5EB2">
              <w:rPr>
                <w:rFonts w:ascii="Tahoma" w:hAnsi="Tahoma" w:cs="Tahoma"/>
                <w:sz w:val="18"/>
                <w:szCs w:val="18"/>
              </w:rPr>
              <w:t>enfoque de Ricardo y Heckscher-Ohlin y la migración</w:t>
            </w:r>
          </w:p>
          <w:p w:rsidR="000C64D0" w:rsidRPr="004A5EB2" w:rsidRDefault="000C64D0" w:rsidP="0097674D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4.2 El modelo 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Jevons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del equilibrio internacional de la oferta de trabajo</w:t>
            </w:r>
          </w:p>
          <w:p w:rsidR="0097674D" w:rsidRPr="00154EC4" w:rsidRDefault="000C64D0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4.3</w:t>
            </w:r>
            <w:r w:rsidR="0097674D" w:rsidRPr="004A5EB2">
              <w:rPr>
                <w:rFonts w:ascii="Tahoma" w:hAnsi="Tahoma" w:cs="Tahoma"/>
                <w:sz w:val="18"/>
                <w:szCs w:val="18"/>
              </w:rPr>
              <w:t>. La nueva teoría del comercio internacional</w:t>
            </w:r>
            <w:r w:rsidR="0097674D">
              <w:rPr>
                <w:rFonts w:ascii="Tahoma" w:hAnsi="Tahoma" w:cs="Tahoma"/>
                <w:sz w:val="18"/>
                <w:szCs w:val="18"/>
              </w:rPr>
              <w:t xml:space="preserve"> de Krugman y la migración</w:t>
            </w:r>
          </w:p>
        </w:tc>
        <w:tc>
          <w:tcPr>
            <w:tcW w:w="19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t xml:space="preserve">5. Modelos de emigración derivados del keynesianismo y </w:t>
            </w:r>
            <w:proofErr w:type="spellStart"/>
            <w:r w:rsidRPr="002372F5">
              <w:rPr>
                <w:rFonts w:ascii="Tahoma" w:hAnsi="Tahoma" w:cs="Tahoma"/>
                <w:sz w:val="18"/>
                <w:szCs w:val="18"/>
              </w:rPr>
              <w:t>poskeynesianismo</w:t>
            </w:r>
            <w:proofErr w:type="spellEnd"/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154EC4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154EC4">
              <w:rPr>
                <w:rFonts w:ascii="Tahoma" w:hAnsi="Tahoma" w:cs="Tahoma"/>
                <w:sz w:val="18"/>
                <w:szCs w:val="18"/>
              </w:rPr>
              <w:t>Conocer a</w:t>
            </w:r>
            <w:r>
              <w:rPr>
                <w:rFonts w:ascii="Tahoma" w:hAnsi="Tahoma" w:cs="Tahoma"/>
                <w:sz w:val="18"/>
                <w:szCs w:val="18"/>
              </w:rPr>
              <w:t>lgunos de los modelos derivados del k</w:t>
            </w:r>
            <w:r w:rsidRPr="00154EC4">
              <w:rPr>
                <w:rFonts w:ascii="Tahoma" w:hAnsi="Tahoma" w:cs="Tahoma"/>
                <w:sz w:val="18"/>
                <w:szCs w:val="18"/>
              </w:rPr>
              <w:t>e</w:t>
            </w:r>
            <w:r w:rsidR="0027414E">
              <w:rPr>
                <w:rFonts w:ascii="Tahoma" w:hAnsi="Tahoma" w:cs="Tahoma"/>
                <w:sz w:val="18"/>
                <w:szCs w:val="18"/>
              </w:rPr>
              <w:t xml:space="preserve">ynesianismo y </w:t>
            </w:r>
            <w:proofErr w:type="spellStart"/>
            <w:r w:rsidR="0027414E">
              <w:rPr>
                <w:rFonts w:ascii="Tahoma" w:hAnsi="Tahoma" w:cs="Tahoma"/>
                <w:sz w:val="18"/>
                <w:szCs w:val="18"/>
              </w:rPr>
              <w:t>pos</w:t>
            </w:r>
            <w:r>
              <w:rPr>
                <w:rFonts w:ascii="Tahoma" w:hAnsi="Tahoma" w:cs="Tahoma"/>
                <w:sz w:val="18"/>
                <w:szCs w:val="18"/>
              </w:rPr>
              <w:t>keynesianismo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4EC4">
              <w:rPr>
                <w:rFonts w:ascii="Tahoma" w:hAnsi="Tahoma" w:cs="Tahoma"/>
                <w:sz w:val="18"/>
                <w:szCs w:val="18"/>
              </w:rPr>
              <w:t>que intentan explicar los procesos migratorios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2372F5">
              <w:rPr>
                <w:rFonts w:ascii="Tahoma" w:hAnsi="Tahoma" w:cs="Tahoma"/>
                <w:sz w:val="17"/>
                <w:szCs w:val="17"/>
              </w:rPr>
              <w:t>5.1. Derivaciones para el estudio de la migración del modelo keynesiano</w:t>
            </w:r>
          </w:p>
          <w:p w:rsidR="0097674D" w:rsidRPr="002372F5" w:rsidRDefault="0097674D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7"/>
                <w:szCs w:val="17"/>
              </w:rPr>
            </w:pPr>
            <w:r w:rsidRPr="002372F5">
              <w:rPr>
                <w:rFonts w:ascii="Tahoma" w:hAnsi="Tahoma" w:cs="Tahoma"/>
                <w:sz w:val="17"/>
                <w:szCs w:val="17"/>
              </w:rPr>
              <w:t xml:space="preserve">5.2. </w:t>
            </w:r>
            <w:proofErr w:type="spellStart"/>
            <w:r w:rsidRPr="002372F5">
              <w:rPr>
                <w:rFonts w:ascii="Tahoma" w:hAnsi="Tahoma" w:cs="Tahoma"/>
                <w:sz w:val="17"/>
                <w:szCs w:val="17"/>
              </w:rPr>
              <w:t>Poskeynesiano</w:t>
            </w:r>
            <w:proofErr w:type="spellEnd"/>
            <w:r w:rsidRPr="002372F5">
              <w:rPr>
                <w:rFonts w:ascii="Tahoma" w:hAnsi="Tahoma" w:cs="Tahoma"/>
                <w:sz w:val="17"/>
                <w:szCs w:val="17"/>
              </w:rPr>
              <w:t xml:space="preserve"> de crecimiento de corto plazo, o modelo IS-LM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lastRenderedPageBreak/>
              <w:t>6. Nuevas teorías económicas de la migración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F665F8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665F8">
              <w:rPr>
                <w:rFonts w:ascii="Tahoma" w:hAnsi="Tahoma" w:cs="Tahoma"/>
                <w:sz w:val="18"/>
                <w:szCs w:val="18"/>
              </w:rPr>
              <w:t>Abordar algunas de las nuevas teorías económicas de la migración</w:t>
            </w:r>
            <w:r w:rsidR="000C64D0">
              <w:rPr>
                <w:rFonts w:ascii="Tahoma" w:hAnsi="Tahoma" w:cs="Tahoma"/>
                <w:sz w:val="18"/>
                <w:szCs w:val="18"/>
              </w:rPr>
              <w:t xml:space="preserve"> basadas en decisiones microeconómicas.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F665F8" w:rsidRDefault="0097674D" w:rsidP="0097674D">
            <w:pPr>
              <w:pStyle w:val="ListParagraph1"/>
              <w:tabs>
                <w:tab w:val="right" w:pos="360"/>
                <w:tab w:val="left" w:pos="540"/>
              </w:tabs>
              <w:spacing w:before="120" w:after="120"/>
              <w:ind w:left="0"/>
              <w:contextualSpacing w:val="0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 w:rsidRPr="00F665F8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.1. El modelo de Stark y otros</w:t>
            </w:r>
          </w:p>
          <w:p w:rsidR="0097674D" w:rsidRPr="00F665F8" w:rsidRDefault="0097674D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665F8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6.2. Desarrollos recientes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t>7. Otros enfoques sobre economía de la migración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F665F8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Identificar</w:t>
            </w:r>
            <w:r w:rsidRPr="00F665F8">
              <w:rPr>
                <w:rFonts w:ascii="Tahoma" w:hAnsi="Tahoma" w:cs="Tahoma"/>
                <w:sz w:val="18"/>
                <w:szCs w:val="18"/>
              </w:rPr>
              <w:t xml:space="preserve"> otros enfoques </w:t>
            </w:r>
            <w:r>
              <w:rPr>
                <w:rFonts w:ascii="Tahoma" w:hAnsi="Tahoma" w:cs="Tahoma"/>
                <w:sz w:val="18"/>
                <w:szCs w:val="18"/>
              </w:rPr>
              <w:t>sobre economía de la migración</w:t>
            </w:r>
            <w:r w:rsidR="00B11706">
              <w:rPr>
                <w:rFonts w:ascii="Tahoma" w:hAnsi="Tahoma" w:cs="Tahoma"/>
                <w:sz w:val="18"/>
                <w:szCs w:val="18"/>
              </w:rPr>
              <w:t xml:space="preserve"> basada en la ob</w:t>
            </w:r>
            <w:r w:rsidR="00BA41D2">
              <w:rPr>
                <w:rFonts w:ascii="Tahoma" w:hAnsi="Tahoma" w:cs="Tahoma"/>
                <w:sz w:val="18"/>
                <w:szCs w:val="18"/>
              </w:rPr>
              <w:t>r</w:t>
            </w:r>
            <w:r w:rsidR="00B11706">
              <w:rPr>
                <w:rFonts w:ascii="Tahoma" w:hAnsi="Tahoma" w:cs="Tahoma"/>
                <w:sz w:val="18"/>
                <w:szCs w:val="18"/>
              </w:rPr>
              <w:t xml:space="preserve">a de </w:t>
            </w:r>
            <w:r w:rsidR="00BA41D2">
              <w:rPr>
                <w:rFonts w:ascii="Tahoma" w:hAnsi="Tahoma" w:cs="Tahoma"/>
                <w:sz w:val="18"/>
                <w:szCs w:val="18"/>
              </w:rPr>
              <w:t xml:space="preserve">G. </w:t>
            </w:r>
            <w:r w:rsidR="00B11706">
              <w:rPr>
                <w:rFonts w:ascii="Tahoma" w:hAnsi="Tahoma" w:cs="Tahoma"/>
                <w:sz w:val="18"/>
                <w:szCs w:val="18"/>
              </w:rPr>
              <w:t>B</w:t>
            </w:r>
            <w:r w:rsidR="00BA41D2">
              <w:rPr>
                <w:rFonts w:ascii="Tahoma" w:hAnsi="Tahoma" w:cs="Tahoma"/>
                <w:sz w:val="18"/>
                <w:szCs w:val="18"/>
              </w:rPr>
              <w:t>orja</w:t>
            </w:r>
            <w:r w:rsidR="00B11706">
              <w:rPr>
                <w:rFonts w:ascii="Tahoma" w:hAnsi="Tahoma" w:cs="Tahoma"/>
                <w:sz w:val="18"/>
                <w:szCs w:val="18"/>
              </w:rPr>
              <w:t>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F665F8" w:rsidRDefault="0097674D" w:rsidP="0097674D">
            <w:pPr>
              <w:pStyle w:val="ListParagraph1"/>
              <w:tabs>
                <w:tab w:val="right" w:pos="360"/>
                <w:tab w:val="left" w:pos="540"/>
              </w:tabs>
              <w:spacing w:before="120" w:after="120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F665F8">
              <w:rPr>
                <w:rFonts w:ascii="Tahoma" w:hAnsi="Tahoma" w:cs="Tahoma"/>
                <w:sz w:val="18"/>
                <w:szCs w:val="18"/>
              </w:rPr>
              <w:t>7.1. La perspectiva de causación acumulativa y la migración</w:t>
            </w:r>
          </w:p>
          <w:p w:rsidR="0097674D" w:rsidRPr="00F665F8" w:rsidRDefault="0097674D" w:rsidP="0097674D">
            <w:pPr>
              <w:pStyle w:val="ListParagraph1"/>
              <w:tabs>
                <w:tab w:val="right" w:pos="360"/>
                <w:tab w:val="left" w:pos="540"/>
              </w:tabs>
              <w:spacing w:before="120" w:after="120"/>
              <w:ind w:left="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7.2. La auto</w:t>
            </w:r>
            <w:r w:rsidRPr="00F665F8">
              <w:rPr>
                <w:rFonts w:ascii="Tahoma" w:hAnsi="Tahoma" w:cs="Tahoma"/>
                <w:sz w:val="18"/>
                <w:szCs w:val="18"/>
              </w:rPr>
              <w:t>selección de</w:t>
            </w:r>
            <w:r w:rsidR="00F75F8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65F8">
              <w:rPr>
                <w:rFonts w:ascii="Tahoma" w:hAnsi="Tahoma" w:cs="Tahoma"/>
                <w:sz w:val="18"/>
                <w:szCs w:val="18"/>
              </w:rPr>
              <w:t>migrantes</w:t>
            </w:r>
          </w:p>
          <w:p w:rsidR="0097674D" w:rsidRPr="00F665F8" w:rsidRDefault="0097674D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7.3. </w:t>
            </w:r>
            <w:r w:rsidRPr="00F665F8">
              <w:rPr>
                <w:rFonts w:ascii="Tahoma" w:hAnsi="Tahoma" w:cs="Tahoma"/>
                <w:sz w:val="18"/>
                <w:szCs w:val="18"/>
              </w:rPr>
              <w:t>Teoría del capital social y redes migratorias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sz w:val="18"/>
                <w:szCs w:val="18"/>
              </w:rPr>
              <w:t>8. Remesas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6679EE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679EE">
              <w:rPr>
                <w:rFonts w:ascii="Tahoma" w:hAnsi="Tahoma" w:cs="Tahoma"/>
                <w:sz w:val="18"/>
                <w:szCs w:val="18"/>
              </w:rPr>
              <w:t>Conocer las contribuciones que hace la teoría al estudio de los efectos de la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6679EE">
              <w:rPr>
                <w:rFonts w:ascii="Tahoma" w:hAnsi="Tahoma" w:cs="Tahoma"/>
                <w:sz w:val="18"/>
                <w:szCs w:val="18"/>
              </w:rPr>
              <w:t xml:space="preserve"> remesas.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6679EE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8.1. Altruismo</w:t>
            </w:r>
          </w:p>
          <w:p w:rsidR="0097674D" w:rsidRPr="006679EE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 w:rsidRPr="006679EE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8.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2. Modelos de envío de remesas</w:t>
            </w:r>
          </w:p>
          <w:p w:rsidR="0097674D" w:rsidRPr="006679EE" w:rsidRDefault="0097674D" w:rsidP="0097674D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8.3. Uso de las remesas</w:t>
            </w:r>
          </w:p>
          <w:p w:rsidR="0097674D" w:rsidRPr="006679EE" w:rsidRDefault="0097674D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6679EE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8.4. Estimaci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ón de los montos de las remesas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Avances de ensayo crítico</w:t>
            </w:r>
          </w:p>
        </w:tc>
      </w:tr>
      <w:tr w:rsidR="0097674D" w:rsidRPr="00A850DB" w:rsidTr="00F94C0B">
        <w:tc>
          <w:tcPr>
            <w:tcW w:w="223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2372F5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372F5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9. Remesas, migración y desarrollo</w:t>
            </w:r>
          </w:p>
        </w:tc>
        <w:tc>
          <w:tcPr>
            <w:tcW w:w="2976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6679EE" w:rsidRDefault="0097674D" w:rsidP="0097674D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679EE">
              <w:rPr>
                <w:rFonts w:ascii="Tahoma" w:hAnsi="Tahoma" w:cs="Tahoma"/>
                <w:sz w:val="18"/>
                <w:szCs w:val="18"/>
              </w:rPr>
              <w:t>Conocer las contribuciones que hace la teoría al estudio de los efectos de la migración al desarrollo de las comunidades expulsoras.</w:t>
            </w:r>
          </w:p>
        </w:tc>
        <w:tc>
          <w:tcPr>
            <w:tcW w:w="283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6679EE" w:rsidRDefault="0097674D" w:rsidP="0097674D">
            <w:pPr>
              <w:widowControl/>
              <w:adjustRightInd/>
              <w:spacing w:before="120" w:line="240" w:lineRule="auto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6679EE">
              <w:rPr>
                <w:rFonts w:ascii="Tahoma" w:hAnsi="Tahoma" w:cs="Tahoma"/>
                <w:color w:val="000000"/>
                <w:sz w:val="18"/>
                <w:szCs w:val="18"/>
                <w:lang w:bidi="en-US"/>
              </w:rPr>
              <w:t>9.1. Remesas, migración y desarrollo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Partici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pación en discusión de lecturas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180" w:hanging="180"/>
              <w:contextualSpacing w:val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pacing w:val="-2"/>
                <w:sz w:val="18"/>
                <w:szCs w:val="18"/>
              </w:rPr>
              <w:t>Entrega final de ensayo crítico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97674D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3785F">
              <w:rPr>
                <w:rFonts w:ascii="Tahoma" w:hAnsi="Tahoma" w:cs="Tahoma"/>
                <w:sz w:val="18"/>
                <w:szCs w:val="18"/>
              </w:rPr>
              <w:t xml:space="preserve">El curso </w:t>
            </w:r>
            <w:r>
              <w:rPr>
                <w:rFonts w:ascii="Tahoma" w:hAnsi="Tahoma" w:cs="Tahoma"/>
                <w:sz w:val="18"/>
                <w:szCs w:val="18"/>
              </w:rPr>
              <w:t>se desarrollará mediante los siguientes elementos: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z w:val="18"/>
                <w:szCs w:val="18"/>
              </w:rPr>
              <w:t>Impartición con base en exposiciones de parte del profesor y con el apoyo de laboratorios donde se realizarán ejercicios y se resolverán dudas.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z w:val="18"/>
                <w:szCs w:val="18"/>
              </w:rPr>
              <w:t>Lectura crítica de los materiales bibliográficos señalados.</w:t>
            </w:r>
          </w:p>
          <w:p w:rsidR="0097674D" w:rsidRPr="00C202F4" w:rsidRDefault="0097674D" w:rsidP="0097674D">
            <w:pPr>
              <w:pStyle w:val="ListParagraph"/>
              <w:widowControl w:val="0"/>
              <w:numPr>
                <w:ilvl w:val="0"/>
                <w:numId w:val="9"/>
              </w:numPr>
              <w:adjustRightInd w:val="0"/>
              <w:spacing w:before="120" w:after="120"/>
              <w:ind w:left="567" w:hanging="180"/>
              <w:contextualSpacing w:val="0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</w:pPr>
            <w:r w:rsidRPr="00C202F4">
              <w:rPr>
                <w:rFonts w:ascii="Tahoma" w:hAnsi="Tahoma" w:cs="Tahoma"/>
                <w:sz w:val="18"/>
                <w:szCs w:val="18"/>
              </w:rPr>
              <w:t>Realización de tareas y ensayos críticos para el reforzamiento continúo del aprendizaje.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8D25CA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674D" w:rsidRPr="0097674D" w:rsidRDefault="0097674D" w:rsidP="0097674D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7674D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97674D" w:rsidRPr="0097674D" w:rsidRDefault="0097674D" w:rsidP="0097674D">
            <w:pPr>
              <w:numPr>
                <w:ilvl w:val="0"/>
                <w:numId w:val="9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7674D">
              <w:rPr>
                <w:rFonts w:ascii="Tahoma" w:eastAsia="Times New Roman" w:hAnsi="Tahoma" w:cs="Tahoma"/>
                <w:spacing w:val="-2"/>
                <w:sz w:val="18"/>
                <w:szCs w:val="18"/>
                <w:lang w:eastAsia="es-ES" w:bidi="ar-SA"/>
              </w:rPr>
              <w:t>Asistencia y participación, 10 %</w:t>
            </w:r>
          </w:p>
          <w:p w:rsidR="0097674D" w:rsidRDefault="0097674D" w:rsidP="0097674D">
            <w:pPr>
              <w:numPr>
                <w:ilvl w:val="0"/>
                <w:numId w:val="9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7674D">
              <w:rPr>
                <w:rFonts w:ascii="Tahoma" w:eastAsia="Times New Roman" w:hAnsi="Tahoma" w:cs="Tahoma"/>
                <w:sz w:val="18"/>
                <w:szCs w:val="18"/>
                <w:lang w:eastAsia="es-ES" w:bidi="ar-SA"/>
              </w:rPr>
              <w:t>Resolución de problemas y laboratorios, 20%</w:t>
            </w:r>
          </w:p>
          <w:p w:rsidR="00C1186A" w:rsidRPr="0097674D" w:rsidRDefault="0097674D" w:rsidP="0097674D">
            <w:pPr>
              <w:numPr>
                <w:ilvl w:val="0"/>
                <w:numId w:val="9"/>
              </w:numPr>
              <w:spacing w:before="120" w:line="240" w:lineRule="auto"/>
              <w:ind w:left="567" w:hanging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_tradnl" w:eastAsia="es-ES" w:bidi="ar-SA"/>
              </w:rPr>
            </w:pPr>
            <w:r w:rsidRPr="0097674D">
              <w:rPr>
                <w:rFonts w:ascii="Tahoma" w:hAnsi="Tahoma" w:cs="Tahoma"/>
                <w:spacing w:val="-2"/>
                <w:sz w:val="18"/>
                <w:szCs w:val="18"/>
              </w:rPr>
              <w:t>Ensayo crítico, 70%</w:t>
            </w:r>
          </w:p>
        </w:tc>
      </w:tr>
      <w:tr w:rsidR="008D25CA" w:rsidRPr="00A850DB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D25CA" w:rsidRPr="00A850DB" w:rsidRDefault="00E52861" w:rsidP="00FE0E23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97674D" w:rsidRPr="00795F68" w:rsidTr="00FE0E23">
        <w:trPr>
          <w:trHeight w:val="283"/>
        </w:trPr>
        <w:tc>
          <w:tcPr>
            <w:tcW w:w="10031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7674D" w:rsidRPr="002372F5" w:rsidRDefault="008572D2" w:rsidP="0027414E">
            <w:pPr>
              <w:pStyle w:val="Prrafodelista1"/>
              <w:tabs>
                <w:tab w:val="right" w:pos="360"/>
                <w:tab w:val="left" w:pos="540"/>
              </w:tabs>
              <w:spacing w:before="120" w:after="120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372F5">
              <w:rPr>
                <w:rFonts w:ascii="Tahoma" w:hAnsi="Tahoma" w:cs="Tahoma"/>
                <w:b/>
                <w:sz w:val="18"/>
                <w:szCs w:val="18"/>
                <w:u w:val="single"/>
              </w:rPr>
              <w:t>Básica</w:t>
            </w:r>
          </w:p>
          <w:p w:rsidR="008572D2" w:rsidRDefault="009808B7" w:rsidP="008572D2">
            <w:pPr>
              <w:tabs>
                <w:tab w:val="right" w:pos="284"/>
              </w:tabs>
              <w:spacing w:after="0"/>
              <w:ind w:left="426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Borjas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George,</w:t>
            </w:r>
            <w:r w:rsidR="0007030D" w:rsidRPr="003E7CBB">
              <w:rPr>
                <w:rFonts w:ascii="Tahoma" w:hAnsi="Tahoma" w:cs="Tahoma"/>
                <w:sz w:val="18"/>
                <w:szCs w:val="18"/>
                <w:lang w:val="en-US"/>
              </w:rPr>
              <w:t xml:space="preserve"> 1989, Economic Theory and International Migration. International Migration Review, Vol. 23, No. 3, Special Silver Anniversary Issue: International Migration an Assessment for the 90's, (Autumn, 1989), pp. 457-485. The Center for Migration Studies of New York, Inc.</w:t>
            </w:r>
          </w:p>
          <w:p w:rsidR="0007030D" w:rsidRPr="008572D2" w:rsidRDefault="0007030D" w:rsidP="008572D2">
            <w:pPr>
              <w:tabs>
                <w:tab w:val="right" w:pos="284"/>
              </w:tabs>
              <w:spacing w:after="0"/>
              <w:ind w:left="426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Chiquiar</w:t>
            </w:r>
            <w:proofErr w:type="spellEnd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, Daniel y Gordon H. Hanson, 2005,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“International Migration, Self-</w:t>
            </w:r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Selection, and the Distribution of Wages: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="00F31BF7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Evidence from Mé</w:t>
            </w:r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xico and the United States”, </w:t>
            </w:r>
            <w:r w:rsidRPr="0027414E">
              <w:rPr>
                <w:rFonts w:ascii="Tahoma" w:hAnsi="Tahoma" w:cs="Tahoma"/>
                <w:i/>
                <w:color w:val="000000"/>
                <w:sz w:val="18"/>
                <w:szCs w:val="18"/>
                <w:lang w:val="en-US" w:bidi="en-US"/>
              </w:rPr>
              <w:t>Journal of Political Economy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nú</w:t>
            </w:r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m</w:t>
            </w:r>
            <w:proofErr w:type="spellEnd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. 113, pp. 239-281.</w:t>
            </w:r>
          </w:p>
          <w:p w:rsidR="0007030D" w:rsidRPr="00681944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Da </w:t>
            </w: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Vanzo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Julie, 1976,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Why families Move: A Model of the Geographic Mobility of Married Couples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R-1972-DOL, </w:t>
            </w:r>
            <w:smartTag w:uri="urn:schemas-microsoft-com:office:smarttags" w:element="City">
              <w:smartTag w:uri="urn:schemas-microsoft-com:office:smarttags" w:element="place">
                <w:r w:rsidRPr="00681944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Santa Monica</w:t>
                </w:r>
              </w:smartTag>
            </w:smartTag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The Rand Corporation.</w:t>
            </w:r>
          </w:p>
          <w:p w:rsidR="0007030D" w:rsidRPr="00681944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Eckaus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R. S., 1955, “The Factor Proportions Problem in Underdeveloped Areas”,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American Economic Review,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ol.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45, sept.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pp. 539-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65.</w:t>
            </w:r>
          </w:p>
          <w:p w:rsidR="0007030D" w:rsidRPr="003E7CBB" w:rsidRDefault="0007030D" w:rsidP="0007030D">
            <w:pPr>
              <w:tabs>
                <w:tab w:val="right" w:pos="284"/>
              </w:tabs>
              <w:autoSpaceDE w:val="0"/>
              <w:autoSpaceDN w:val="0"/>
              <w:spacing w:after="0"/>
              <w:ind w:left="426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>Harris, J.R. and Todaro, Michael P., 1970, “Migration, unemployment, and development: A two sector analysis”, American Economic Review 60:126–142.</w:t>
            </w:r>
          </w:p>
          <w:p w:rsidR="0007030D" w:rsidRPr="00681944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Harris, J.R. y Michael P.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Todaro, 1970, “Migration, unemployment, and development: A two sector analysis”,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68194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American Economic Review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núm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. 60, pp. 126–142. </w:t>
            </w:r>
          </w:p>
          <w:p w:rsidR="0007030D" w:rsidRPr="003E7CBB" w:rsidRDefault="0007030D" w:rsidP="0007030D">
            <w:pPr>
              <w:pStyle w:val="Default"/>
              <w:tabs>
                <w:tab w:val="right" w:pos="284"/>
              </w:tabs>
              <w:spacing w:line="36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>Hatton Timothy J. y Jeffrey G. Williamson (1993), What Explains Wage Gaps between Farm and City? Exploring the Todaro Model with American Evidence, 1890-1941. Economic Development and Cultural Change, Vol. 40, No. 2, (Jan., 1992), pp. 267-294. The University of Chicago Press</w:t>
            </w:r>
          </w:p>
          <w:p w:rsidR="0007030D" w:rsidRPr="00681944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Jorgenson, D. W., 1961, “The Development of the Dual Economy”,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Economic Journal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nú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m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. 71, pp. 309-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34.</w:t>
            </w:r>
          </w:p>
          <w:p w:rsidR="0007030D" w:rsidRPr="0016488D" w:rsidRDefault="0007030D" w:rsidP="0007030D">
            <w:pPr>
              <w:tabs>
                <w:tab w:val="right" w:pos="284"/>
              </w:tabs>
              <w:spacing w:after="0"/>
              <w:ind w:left="426" w:hanging="284"/>
              <w:rPr>
                <w:rFonts w:ascii="Tahoma" w:hAnsi="Tahoma" w:cs="Tahoma"/>
                <w:sz w:val="18"/>
                <w:szCs w:val="18"/>
              </w:rPr>
            </w:pPr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 xml:space="preserve">Kenneth A. Reinert, 2012, An Introduction to International Economics. New Perspective on the World Economy. Cambridge University Press. Parte 2. </w:t>
            </w:r>
            <w:r w:rsidRPr="0016488D">
              <w:rPr>
                <w:rFonts w:ascii="Tahoma" w:hAnsi="Tahoma" w:cs="Tahoma"/>
                <w:sz w:val="18"/>
                <w:szCs w:val="18"/>
              </w:rPr>
              <w:t xml:space="preserve">International </w:t>
            </w:r>
            <w:proofErr w:type="spellStart"/>
            <w:r w:rsidRPr="0016488D">
              <w:rPr>
                <w:rFonts w:ascii="Tahoma" w:hAnsi="Tahoma" w:cs="Tahoma"/>
                <w:sz w:val="18"/>
                <w:szCs w:val="18"/>
              </w:rPr>
              <w:t>Production</w:t>
            </w:r>
            <w:proofErr w:type="spellEnd"/>
            <w:r w:rsidRPr="0016488D">
              <w:rPr>
                <w:rFonts w:ascii="Tahoma" w:hAnsi="Tahoma" w:cs="Tahoma"/>
                <w:sz w:val="18"/>
                <w:szCs w:val="18"/>
              </w:rPr>
              <w:t xml:space="preserve">. Capítulo 12. </w:t>
            </w:r>
            <w:proofErr w:type="spellStart"/>
            <w:r w:rsidRPr="0016488D">
              <w:rPr>
                <w:rFonts w:ascii="Tahoma" w:hAnsi="Tahoma" w:cs="Tahoma"/>
                <w:sz w:val="18"/>
                <w:szCs w:val="18"/>
              </w:rPr>
              <w:t>Migration</w:t>
            </w:r>
            <w:proofErr w:type="spellEnd"/>
            <w:r w:rsidRPr="0016488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7030D" w:rsidRPr="007B636C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7B636C">
              <w:rPr>
                <w:rFonts w:ascii="Tahoma" w:hAnsi="Tahoma" w:cs="Tahoma"/>
                <w:sz w:val="18"/>
                <w:szCs w:val="18"/>
              </w:rPr>
              <w:t xml:space="preserve">Lewis, W. Arthur, [1954] 1960, “Desarrollo económico con oferta ilimitada de mano de obra”, </w:t>
            </w:r>
            <w:r w:rsidRPr="007B636C">
              <w:rPr>
                <w:rFonts w:ascii="Tahoma" w:hAnsi="Tahoma" w:cs="Tahoma"/>
                <w:i/>
                <w:sz w:val="18"/>
                <w:szCs w:val="18"/>
              </w:rPr>
              <w:t>El Trimestre Económico</w:t>
            </w:r>
            <w:r w:rsidRPr="007B636C">
              <w:rPr>
                <w:rFonts w:ascii="Tahoma" w:hAnsi="Tahoma" w:cs="Tahoma"/>
                <w:sz w:val="18"/>
                <w:szCs w:val="18"/>
              </w:rPr>
              <w:t>, núm. 108(4), pp. 629-675.</w:t>
            </w:r>
          </w:p>
          <w:p w:rsidR="0007030D" w:rsidRPr="003E7CBB" w:rsidRDefault="0007030D" w:rsidP="0007030D">
            <w:pPr>
              <w:pStyle w:val="ListParagraph"/>
              <w:tabs>
                <w:tab w:val="right" w:pos="284"/>
              </w:tabs>
              <w:spacing w:line="36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 xml:space="preserve">Lucas Robert E. B. (1985), Migration Amongst the Batswana. The Economic Journal, Vol. 95, No. 378, (Jun., 1985), pp. 358-382. Blackwell Publishing for the Royal Economic Society. </w:t>
            </w:r>
          </w:p>
          <w:p w:rsidR="0007030D" w:rsidRPr="00681944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Lucas, Robert E., 1975, “The Supply of Immigrants function and taxation of immigrants´ incomes”, </w:t>
            </w:r>
            <w:r w:rsidRPr="007B636C">
              <w:rPr>
                <w:rFonts w:ascii="Tahoma" w:hAnsi="Tahoma" w:cs="Tahoma"/>
                <w:i/>
                <w:sz w:val="18"/>
                <w:szCs w:val="18"/>
                <w:lang w:val="en-US"/>
              </w:rPr>
              <w:t>Journal of Development</w:t>
            </w:r>
            <w:r w:rsidRPr="002C6781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E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conomics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vol.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septiembre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pp. 289-308.</w:t>
            </w:r>
          </w:p>
          <w:p w:rsidR="0007030D" w:rsidRPr="007B636C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Lucas, Robert E</w:t>
            </w: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., 1985, “Migration Amongst The Botswana”, </w:t>
            </w:r>
            <w:r w:rsidRPr="007B636C"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 Economic Journal</w:t>
            </w: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, vol. 95, </w:t>
            </w:r>
            <w:proofErr w:type="spellStart"/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>junio</w:t>
            </w:r>
            <w:proofErr w:type="spellEnd"/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, pp. 385-382. </w:t>
            </w:r>
          </w:p>
          <w:p w:rsidR="0007030D" w:rsidRPr="007B636C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Lucas, Robert E., 2005, </w:t>
            </w:r>
            <w:r w:rsidRPr="007B636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International migration and economic development</w:t>
            </w: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Northampton, Edward Elgar, Cheltenham.</w:t>
            </w:r>
          </w:p>
          <w:p w:rsidR="0007030D" w:rsidRPr="00681944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>Massey, Douglas E., 1999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“Why Does Immigration Occur?”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e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n </w:t>
            </w: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Hirshman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Charles, 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Kasinitz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y 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DeWind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eds.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The Handbook of International Migration: the American Experience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Estados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Unidos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The Russell Sage Foundation, pp. 34-52.</w:t>
            </w:r>
          </w:p>
          <w:p w:rsidR="0007030D" w:rsidRPr="007B636C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Massey, Douglas S.; Joaquín Arango, Graeme Hugo, Ali </w:t>
            </w:r>
            <w:proofErr w:type="spellStart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Kouaouci</w:t>
            </w:r>
            <w:proofErr w:type="spellEnd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Adela Pellegrino y J. Edward Taylor, 1993, “Theories of </w:t>
            </w:r>
            <w:proofErr w:type="spellStart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internacional</w:t>
            </w:r>
            <w:proofErr w:type="spellEnd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migration: a review and appraisal”, </w:t>
            </w:r>
            <w:r w:rsidRPr="007B636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Population and Development Review</w:t>
            </w: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vol. 19, </w:t>
            </w:r>
            <w:proofErr w:type="spellStart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núm</w:t>
            </w:r>
            <w:proofErr w:type="spellEnd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. 3, pp. 431-466.</w:t>
            </w:r>
          </w:p>
          <w:p w:rsidR="0007030D" w:rsidRPr="003E7CBB" w:rsidRDefault="0007030D" w:rsidP="0007030D">
            <w:pPr>
              <w:tabs>
                <w:tab w:val="right" w:pos="284"/>
              </w:tabs>
              <w:spacing w:after="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>Oded</w:t>
            </w:r>
            <w:proofErr w:type="spellEnd"/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 xml:space="preserve"> Stark and David E. Bloom (1985), The New Economics of Labor Migration. The American Economic Review, Vol. 75, No. 2, Papers and Proceedings of the Ninety- Seventh Annual Meeting of the American Economic Association, (May, 1985), pp.</w:t>
            </w:r>
          </w:p>
          <w:p w:rsidR="0007030D" w:rsidRPr="007B636C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Ranis, G. y J. C. H. Fei, 1961, “A Theory of Economic Development”, </w:t>
            </w:r>
            <w:r w:rsidRPr="007B636C">
              <w:rPr>
                <w:rFonts w:ascii="Tahoma" w:hAnsi="Tahoma" w:cs="Tahoma"/>
                <w:i/>
                <w:sz w:val="18"/>
                <w:szCs w:val="18"/>
                <w:lang w:val="en-US"/>
              </w:rPr>
              <w:t>American Economic Review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v</w:t>
            </w: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ol. 51, </w:t>
            </w:r>
            <w:proofErr w:type="spellStart"/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>septiembre</w:t>
            </w:r>
            <w:proofErr w:type="spellEnd"/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>, pp. 533-5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 w:rsidRPr="007B636C">
              <w:rPr>
                <w:rFonts w:ascii="Tahoma" w:hAnsi="Tahoma" w:cs="Tahoma"/>
                <w:sz w:val="18"/>
                <w:szCs w:val="18"/>
                <w:lang w:val="en-US"/>
              </w:rPr>
              <w:t>6.</w:t>
            </w:r>
          </w:p>
          <w:p w:rsidR="0007030D" w:rsidRPr="00681944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Stark, </w:t>
            </w:r>
            <w:proofErr w:type="spellStart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Oded</w:t>
            </w:r>
            <w:proofErr w:type="spellEnd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e </w:t>
            </w:r>
            <w:proofErr w:type="spellStart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Ita</w:t>
            </w:r>
            <w:proofErr w:type="spellEnd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Falk, 1998, “Transfers, empathy formation, and reverse transfers”, </w:t>
            </w:r>
            <w:r w:rsidRPr="0068194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American Economic Review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v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ol.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88,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núm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. 2, pp. 271-276.</w:t>
            </w:r>
          </w:p>
          <w:p w:rsidR="0007030D" w:rsidRPr="00993578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Stark, </w:t>
            </w:r>
            <w:proofErr w:type="spellStart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Oded</w:t>
            </w:r>
            <w:proofErr w:type="spellEnd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 y David </w:t>
            </w:r>
            <w:proofErr w:type="spellStart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Levhar</w:t>
            </w:r>
            <w:proofErr w:type="spellEnd"/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, 1982,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 “On Migration and Risk in LDCs”,</w:t>
            </w:r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68194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 w:bidi="en-US"/>
              </w:rPr>
              <w:t>Economic Development and Cultural Change</w:t>
            </w:r>
            <w:r w:rsidRPr="00681944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 xml:space="preserve">vol. 31,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núm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. 1, pp. 191-196.</w:t>
            </w:r>
          </w:p>
          <w:p w:rsidR="0007030D" w:rsidRPr="007B636C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Stark, </w:t>
            </w:r>
            <w:proofErr w:type="spellStart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Oded</w:t>
            </w:r>
            <w:proofErr w:type="spellEnd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1993, </w:t>
            </w:r>
            <w:r w:rsidR="009808B7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The M</w:t>
            </w:r>
            <w:r w:rsidRPr="007B636C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igration of Labor</w:t>
            </w: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Cambridge, Basil Blackwell.</w:t>
            </w:r>
          </w:p>
          <w:p w:rsidR="0007030D" w:rsidRPr="00681944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Stark, </w:t>
            </w:r>
            <w:proofErr w:type="spellStart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Oded</w:t>
            </w:r>
            <w:proofErr w:type="spellEnd"/>
            <w:r w:rsidRP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</w:t>
            </w:r>
            <w:r w:rsidRPr="00B81D9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1999, </w:t>
            </w:r>
            <w:proofErr w:type="spellStart"/>
            <w:r w:rsidRPr="00B81D95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Altriusm</w:t>
            </w:r>
            <w:proofErr w:type="spellEnd"/>
            <w:r w:rsidRPr="00B81D95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 xml:space="preserve"> and beyond</w:t>
            </w:r>
            <w:r w:rsidRPr="00B81D9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Cambridge, Cambridge University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Press.</w:t>
            </w:r>
          </w:p>
          <w:p w:rsidR="0007030D" w:rsidRPr="00993578" w:rsidRDefault="0007030D" w:rsidP="0007030D">
            <w:pPr>
              <w:tabs>
                <w:tab w:val="righ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Stark, </w:t>
            </w:r>
            <w:proofErr w:type="spellStart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Oded</w:t>
            </w:r>
            <w:proofErr w:type="spellEnd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2009, “Reasons for remitting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”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</w:t>
            </w:r>
            <w: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ZEF</w:t>
            </w:r>
            <w:r w:rsidRPr="0068194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 xml:space="preserve"> Discussion Papers on Development Policy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núm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. 134.</w:t>
            </w:r>
          </w:p>
          <w:p w:rsidR="0007030D" w:rsidRPr="003E7CBB" w:rsidRDefault="0007030D" w:rsidP="0007030D">
            <w:pPr>
              <w:tabs>
                <w:tab w:val="right" w:pos="284"/>
              </w:tabs>
              <w:spacing w:after="0"/>
              <w:ind w:left="426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>Thompson, Henry (2011), International Economics: Global Markets and Competition. 3</w:t>
            </w:r>
            <w:r w:rsidRPr="003E7CBB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rd</w:t>
            </w:r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 xml:space="preserve">. edition. 2011. </w:t>
            </w:r>
            <w:proofErr w:type="spellStart"/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>Capítulo</w:t>
            </w:r>
            <w:proofErr w:type="spellEnd"/>
            <w:r w:rsidRPr="003E7CBB">
              <w:rPr>
                <w:rFonts w:ascii="Tahoma" w:hAnsi="Tahoma" w:cs="Tahoma"/>
                <w:sz w:val="18"/>
                <w:szCs w:val="18"/>
                <w:lang w:val="en-US"/>
              </w:rPr>
              <w:t xml:space="preserve"> 8. International migration and capital.</w:t>
            </w:r>
          </w:p>
          <w:p w:rsidR="0007030D" w:rsidRDefault="0007030D" w:rsidP="0007030D">
            <w:pPr>
              <w:tabs>
                <w:tab w:val="right" w:pos="284"/>
              </w:tabs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Todaro, Michael y Stephen C. Smith, 2009,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Economic Development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10</w:t>
            </w:r>
            <w:r w:rsidRPr="0027414E">
              <w:rPr>
                <w:rFonts w:ascii="Tahoma" w:hAnsi="Tahoma" w:cs="Tahoma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ed., Pearson Education Limited.</w:t>
            </w:r>
          </w:p>
          <w:p w:rsidR="0097674D" w:rsidRPr="00681944" w:rsidRDefault="0097674D" w:rsidP="0027414E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97674D" w:rsidRPr="00F31BF7" w:rsidRDefault="0097674D" w:rsidP="0027414E">
            <w:pPr>
              <w:spacing w:before="12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F31BF7">
              <w:rPr>
                <w:rFonts w:ascii="Tahoma" w:hAnsi="Tahoma" w:cs="Tahoma"/>
                <w:b/>
                <w:sz w:val="18"/>
                <w:szCs w:val="18"/>
                <w:u w:val="single"/>
                <w:lang w:val="en-US"/>
              </w:rPr>
              <w:t>Complementaria</w:t>
            </w:r>
            <w:proofErr w:type="spellEnd"/>
          </w:p>
          <w:p w:rsidR="0097674D" w:rsidRDefault="0097674D" w:rsidP="002741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Elias, D. P. B. (1978), </w:t>
            </w:r>
            <w:r w:rsidR="007B636C">
              <w:rPr>
                <w:rFonts w:ascii="Tahoma" w:hAnsi="Tahoma" w:cs="Tahoma"/>
                <w:sz w:val="18"/>
                <w:szCs w:val="18"/>
                <w:lang w:val="en-US"/>
              </w:rPr>
              <w:t>“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Regional Unemployment Elasticities: further evidence</w:t>
            </w:r>
            <w:r w:rsidR="007B636C">
              <w:rPr>
                <w:rFonts w:ascii="Tahoma" w:hAnsi="Tahoma" w:cs="Tahoma"/>
                <w:sz w:val="18"/>
                <w:szCs w:val="18"/>
                <w:lang w:val="en-US"/>
              </w:rPr>
              <w:t>”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7E678D">
              <w:rPr>
                <w:rFonts w:ascii="Tahoma" w:hAnsi="Tahoma" w:cs="Tahoma"/>
                <w:i/>
                <w:sz w:val="18"/>
                <w:szCs w:val="18"/>
                <w:lang w:val="en-US"/>
              </w:rPr>
              <w:t>Scottish Journal of Political Economy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vol. 25, pp. 89-96.</w:t>
            </w:r>
          </w:p>
          <w:p w:rsidR="0097674D" w:rsidRPr="00993578" w:rsidRDefault="0097674D" w:rsidP="002741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de-DE" w:bidi="en-US"/>
              </w:rPr>
            </w:pP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González-König, Gabriel, 2005, “Remittances as investment in the absence of altruism”, </w:t>
            </w:r>
            <w:r w:rsidRPr="0068194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de-DE" w:bidi="en-US"/>
              </w:rPr>
              <w:t>Working paper B 08 2005 del Center for European Integration Studies (ZEI)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de-DE" w:bidi="en-US"/>
              </w:rPr>
              <w:t xml:space="preserve"> de la Rheinische Friedrich-Wilhelms– Universit ̈at en Bonn.</w:t>
            </w:r>
          </w:p>
          <w:p w:rsidR="0097674D" w:rsidRDefault="0097674D" w:rsidP="0027414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Gordon, Ian, 1979, “Regional Unemployment Elasticities: The Neglected Role of Migration”,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Scottish Journal of Political Economy</w:t>
            </w:r>
            <w:r w:rsidR="007B636C">
              <w:rPr>
                <w:rFonts w:ascii="Tahoma" w:hAnsi="Tahoma" w:cs="Tahoma"/>
                <w:sz w:val="18"/>
                <w:szCs w:val="18"/>
                <w:lang w:val="en-US"/>
              </w:rPr>
              <w:t xml:space="preserve">, vol. 26, </w:t>
            </w:r>
            <w:proofErr w:type="spellStart"/>
            <w:r w:rsidR="007B636C">
              <w:rPr>
                <w:rFonts w:ascii="Tahoma" w:hAnsi="Tahoma" w:cs="Tahoma"/>
                <w:sz w:val="18"/>
                <w:szCs w:val="18"/>
                <w:lang w:val="en-US"/>
              </w:rPr>
              <w:t>núm</w:t>
            </w:r>
            <w:proofErr w:type="spellEnd"/>
            <w:r w:rsidR="007B636C">
              <w:rPr>
                <w:rFonts w:ascii="Tahoma" w:hAnsi="Tahoma" w:cs="Tahoma"/>
                <w:sz w:val="18"/>
                <w:szCs w:val="18"/>
                <w:lang w:val="en-US"/>
              </w:rPr>
              <w:t>. 1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, pp. 97-101.</w:t>
            </w:r>
          </w:p>
          <w:p w:rsidR="0097674D" w:rsidRDefault="007B636C" w:rsidP="0027414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Hatton, Timothy</w:t>
            </w:r>
            <w:r w:rsidR="0097674D"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 J. y J. G. Williamson, 1992, “What Explain Wage Gaps between Farm and City? Exploring the Todaro Model with American Evidence, 1890-1941”, </w:t>
            </w:r>
            <w:r w:rsidR="0097674D"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Economic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Development and Cultural Change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97674D" w:rsidRPr="00681944">
              <w:rPr>
                <w:rFonts w:ascii="Tahoma" w:hAnsi="Tahoma" w:cs="Tahoma"/>
                <w:sz w:val="18"/>
                <w:szCs w:val="18"/>
                <w:lang w:val="en-US"/>
              </w:rPr>
              <w:t>The University of Chicago.</w:t>
            </w:r>
          </w:p>
          <w:p w:rsidR="0097674D" w:rsidRPr="00993578" w:rsidRDefault="0097674D" w:rsidP="002741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Lalonde, R.</w:t>
            </w:r>
            <w:r w:rsid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J. y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R.</w:t>
            </w:r>
            <w:r w:rsid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H. </w:t>
            </w:r>
            <w:proofErr w:type="spellStart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Topel</w:t>
            </w:r>
            <w:proofErr w:type="spellEnd"/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1997, “Economic impact of internationa</w:t>
            </w:r>
            <w:r w:rsidR="00F75F8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l migration and of migrants”,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68194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Handbook of Population and Family Economics</w:t>
            </w:r>
            <w:r w:rsid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, vol. 1B, </w:t>
            </w:r>
            <w:proofErr w:type="spellStart"/>
            <w:r w:rsid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núm</w:t>
            </w:r>
            <w:proofErr w:type="spellEnd"/>
            <w:r w:rsidR="007B636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. 14, pp. 799-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850.</w:t>
            </w:r>
          </w:p>
          <w:p w:rsidR="0097674D" w:rsidRPr="00681944" w:rsidRDefault="0097674D" w:rsidP="0027414E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Thirlwall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P., 1966, “Regional Unemployment as Cyclical Phenomenon”,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Scottish Journal of Political Economy</w:t>
            </w:r>
            <w:r w:rsidR="007B636C">
              <w:rPr>
                <w:rFonts w:ascii="Tahoma" w:hAnsi="Tahoma" w:cs="Tahoma"/>
                <w:sz w:val="18"/>
                <w:szCs w:val="18"/>
                <w:lang w:val="en-US"/>
              </w:rPr>
              <w:t>, v</w:t>
            </w:r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ol. 13, pp. 20-219.</w:t>
            </w:r>
          </w:p>
          <w:p w:rsidR="0097674D" w:rsidRPr="00993578" w:rsidRDefault="0097674D" w:rsidP="002741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>Thirlwall</w:t>
            </w:r>
            <w:proofErr w:type="spellEnd"/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P., 1975, “Forecasting Regional Unemployment in </w:t>
            </w:r>
            <w:smartTag w:uri="urn:schemas-microsoft-com:office:smarttags" w:element="place">
              <w:smartTag w:uri="urn:schemas-microsoft-com:office:smarttags" w:element="country-region">
                <w:r w:rsidRPr="00681944">
                  <w:rPr>
                    <w:rFonts w:ascii="Tahoma" w:hAnsi="Tahoma" w:cs="Tahoma"/>
                    <w:sz w:val="18"/>
                    <w:szCs w:val="18"/>
                    <w:lang w:val="en-US"/>
                  </w:rPr>
                  <w:t>Great Britain</w:t>
                </w:r>
              </w:smartTag>
            </w:smartTag>
            <w:r w:rsidRPr="00681944">
              <w:rPr>
                <w:rFonts w:ascii="Tahoma" w:hAnsi="Tahoma" w:cs="Tahoma"/>
                <w:sz w:val="18"/>
                <w:szCs w:val="18"/>
                <w:lang w:val="en-US"/>
              </w:rPr>
              <w:t xml:space="preserve">”, </w:t>
            </w:r>
            <w:r w:rsidRPr="00681944">
              <w:rPr>
                <w:rFonts w:ascii="Tahoma" w:hAnsi="Tahoma" w:cs="Tahoma"/>
                <w:i/>
                <w:sz w:val="18"/>
                <w:szCs w:val="18"/>
                <w:lang w:val="en-US"/>
              </w:rPr>
              <w:t>Regional Sciences and Urban Economics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 vol. 5, pp. 357-374.</w:t>
            </w:r>
          </w:p>
          <w:p w:rsidR="0097674D" w:rsidRDefault="0097674D" w:rsidP="002741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 xml:space="preserve">World Bank, 2006, </w:t>
            </w:r>
            <w:r w:rsidRPr="00681944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val="en-US" w:bidi="en-US"/>
              </w:rPr>
              <w:t>Global Economic Prospects. Economic Implications of Remittances and Migration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Washington D</w:t>
            </w:r>
            <w:r w:rsidR="00F75F8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.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C</w:t>
            </w:r>
            <w:r w:rsidR="00F75F8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.</w:t>
            </w:r>
            <w:r w:rsidRPr="0068194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  <w:t>, The World Bank.</w:t>
            </w:r>
          </w:p>
          <w:p w:rsidR="00F31BF7" w:rsidRPr="00D870A4" w:rsidRDefault="00F31BF7" w:rsidP="002741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before="120" w:line="240" w:lineRule="auto"/>
              <w:ind w:left="567" w:hanging="425"/>
              <w:textAlignment w:val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820272" w:rsidRPr="0097674D" w:rsidRDefault="00820272">
      <w:pPr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RPr="0097674D" w:rsidSect="00E52861">
      <w:headerReference w:type="default" r:id="rId32"/>
      <w:footerReference w:type="default" r:id="rId33"/>
      <w:headerReference w:type="first" r:id="rId34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14" w:rsidRDefault="00A07B14" w:rsidP="00EA7DE6">
      <w:pPr>
        <w:spacing w:after="0" w:line="240" w:lineRule="auto"/>
      </w:pPr>
      <w:r>
        <w:separator/>
      </w:r>
    </w:p>
  </w:endnote>
  <w:endnote w:type="continuationSeparator" w:id="0">
    <w:p w:rsidR="00A07B14" w:rsidRDefault="00A07B14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C" w:rsidRPr="00FB2AA3" w:rsidRDefault="007B636C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D64EDE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D64EDE">
      <w:rPr>
        <w:rFonts w:ascii="Tahoma" w:hAnsi="Tahoma" w:cs="Tahoma"/>
        <w:noProof/>
        <w:sz w:val="16"/>
        <w:szCs w:val="16"/>
      </w:rPr>
      <w:t>5</w:t>
    </w:r>
    <w:r w:rsidRPr="00FB2AA3">
      <w:rPr>
        <w:rFonts w:ascii="Tahoma" w:hAnsi="Tahoma" w:cs="Tahoma"/>
        <w:sz w:val="16"/>
        <w:szCs w:val="16"/>
      </w:rPr>
      <w:fldChar w:fldCharType="end"/>
    </w:r>
  </w:p>
  <w:p w:rsidR="007B636C" w:rsidRDefault="007B6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14" w:rsidRDefault="00A07B14" w:rsidP="00EA7DE6">
      <w:pPr>
        <w:spacing w:after="0" w:line="240" w:lineRule="auto"/>
      </w:pPr>
      <w:r>
        <w:separator/>
      </w:r>
    </w:p>
  </w:footnote>
  <w:footnote w:type="continuationSeparator" w:id="0">
    <w:p w:rsidR="00A07B14" w:rsidRDefault="00A07B14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C" w:rsidRDefault="00D64EDE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298BA0B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3.75pt;margin-top:-15.55pt;width:299.35pt;height:43.4pt;z-index:251656192;mso-height-percent:200;mso-height-percent:200;mso-width-relative:margin;mso-height-relative:margin" stroked="f">
          <v:textbox style="mso-next-textbox:#_x0000_s2050;mso-fit-shape-to-text:t">
            <w:txbxContent>
              <w:p w:rsidR="007B636C" w:rsidRPr="00596158" w:rsidRDefault="007B636C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D64EDE" w:rsidRPr="00D64EDE" w:rsidRDefault="00D64EDE" w:rsidP="00D64EDE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lang w:val="es-ES_tradnl"/>
                  </w:rPr>
                </w:pPr>
                <w:r>
                  <w:rPr>
                    <w:rFonts w:ascii="Tahoma" w:hAnsi="Tahoma" w:cs="Tahoma"/>
                    <w:b/>
                    <w:color w:val="808080"/>
                    <w:lang w:val="es-ES_tradnl"/>
                  </w:rPr>
                  <w:t>Asignaturas optativas</w:t>
                </w:r>
              </w:p>
            </w:txbxContent>
          </v:textbox>
        </v:shape>
      </w:pict>
    </w:r>
    <w:r>
      <w:rPr>
        <w:noProof/>
        <w:lang w:eastAsia="zh-TW"/>
      </w:rPr>
      <w:pict w14:anchorId="6CA06A7C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7B636C" w:rsidRPr="00244FF1" w:rsidRDefault="00E64603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6F7FC551" wp14:editId="13C1A8F1">
                      <wp:extent cx="1680845" cy="531495"/>
                      <wp:effectExtent l="19050" t="0" r="0" b="0"/>
                      <wp:docPr id="2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C" w:rsidRDefault="00D64EDE">
    <w:pPr>
      <w:pStyle w:val="Header"/>
    </w:pPr>
    <w:r>
      <w:rPr>
        <w:noProof/>
        <w:lang w:val="en-US" w:bidi="ar-SA"/>
      </w:rPr>
      <w:pict w14:anchorId="6121FC2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7B636C" w:rsidRPr="00244FF1" w:rsidRDefault="00E64603" w:rsidP="00E52861">
                <w:pPr>
                  <w:rPr>
                    <w:lang w:val="en-US"/>
                  </w:rPr>
                </w:pPr>
                <w:r>
                  <w:rPr>
                    <w:noProof/>
                    <w:lang w:eastAsia="es-MX" w:bidi="ar-SA"/>
                  </w:rPr>
                  <w:drawing>
                    <wp:inline distT="0" distB="0" distL="0" distR="0" wp14:anchorId="077AEA6A" wp14:editId="117F9537">
                      <wp:extent cx="1680845" cy="531495"/>
                      <wp:effectExtent l="19050" t="0" r="0" b="0"/>
                      <wp:docPr id="1" name="Picture 3" descr="colef 300 dp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lef 300 d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08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bidi="ar-SA"/>
      </w:rPr>
      <w:pict w14:anchorId="6FD232CF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7B636C" w:rsidRPr="00596158" w:rsidRDefault="007B636C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  <w:u w:val="single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  <w:u w:val="single"/>
                  </w:rPr>
                  <w:t>DIRECCIÓN GENERAL DE DOCENCIA</w:t>
                </w:r>
              </w:p>
              <w:p w:rsidR="007B636C" w:rsidRPr="00596158" w:rsidRDefault="007B636C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color w:val="808080"/>
                  </w:rPr>
                </w:pPr>
                <w:r w:rsidRPr="00596158">
                  <w:rPr>
                    <w:rFonts w:ascii="Tahoma" w:hAnsi="Tahoma" w:cs="Tahoma"/>
                    <w:b/>
                    <w:color w:val="808080"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A24"/>
    <w:multiLevelType w:val="hybridMultilevel"/>
    <w:tmpl w:val="779AD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224E"/>
    <w:multiLevelType w:val="multilevel"/>
    <w:tmpl w:val="77882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C831AC"/>
    <w:multiLevelType w:val="hybridMultilevel"/>
    <w:tmpl w:val="7D3E2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0252"/>
    <w:multiLevelType w:val="hybridMultilevel"/>
    <w:tmpl w:val="504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037E9"/>
    <w:multiLevelType w:val="hybridMultilevel"/>
    <w:tmpl w:val="55FE8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E6F0F"/>
    <w:multiLevelType w:val="hybridMultilevel"/>
    <w:tmpl w:val="AC62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417B4"/>
    <w:multiLevelType w:val="hybridMultilevel"/>
    <w:tmpl w:val="0CF2F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2AF53A0"/>
    <w:multiLevelType w:val="hybridMultilevel"/>
    <w:tmpl w:val="002E3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417A"/>
    <w:multiLevelType w:val="hybridMultilevel"/>
    <w:tmpl w:val="698C8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DC93EC">
      <w:start w:val="19"/>
      <w:numFmt w:val="bullet"/>
      <w:lvlText w:val="-"/>
      <w:lvlJc w:val="left"/>
      <w:pPr>
        <w:ind w:left="1440" w:hanging="360"/>
      </w:pPr>
      <w:rPr>
        <w:rFonts w:ascii="Century Gothic" w:hAnsi="Century Gothic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4D"/>
    <w:rsid w:val="0000159C"/>
    <w:rsid w:val="000059FE"/>
    <w:rsid w:val="00017EB5"/>
    <w:rsid w:val="000307EE"/>
    <w:rsid w:val="00062FAF"/>
    <w:rsid w:val="0007030D"/>
    <w:rsid w:val="00070784"/>
    <w:rsid w:val="000978F1"/>
    <w:rsid w:val="000A1F68"/>
    <w:rsid w:val="000C64D0"/>
    <w:rsid w:val="000D0BE6"/>
    <w:rsid w:val="000E2F46"/>
    <w:rsid w:val="000F551B"/>
    <w:rsid w:val="000F61F7"/>
    <w:rsid w:val="0016488D"/>
    <w:rsid w:val="00181324"/>
    <w:rsid w:val="0018773C"/>
    <w:rsid w:val="00196985"/>
    <w:rsid w:val="001A3489"/>
    <w:rsid w:val="001D5516"/>
    <w:rsid w:val="001D6D68"/>
    <w:rsid w:val="001E28E2"/>
    <w:rsid w:val="00200CFD"/>
    <w:rsid w:val="002230EB"/>
    <w:rsid w:val="002372F5"/>
    <w:rsid w:val="002410CE"/>
    <w:rsid w:val="00244FF1"/>
    <w:rsid w:val="0027414E"/>
    <w:rsid w:val="002B09FF"/>
    <w:rsid w:val="002B2C5B"/>
    <w:rsid w:val="002B4819"/>
    <w:rsid w:val="00317666"/>
    <w:rsid w:val="003652C6"/>
    <w:rsid w:val="00375533"/>
    <w:rsid w:val="003809FD"/>
    <w:rsid w:val="003B19FD"/>
    <w:rsid w:val="003B67F1"/>
    <w:rsid w:val="003D1019"/>
    <w:rsid w:val="003E7CBB"/>
    <w:rsid w:val="003F408B"/>
    <w:rsid w:val="00431B7B"/>
    <w:rsid w:val="00457E20"/>
    <w:rsid w:val="00466399"/>
    <w:rsid w:val="00487DE5"/>
    <w:rsid w:val="004A2F44"/>
    <w:rsid w:val="004C50F4"/>
    <w:rsid w:val="004C6C14"/>
    <w:rsid w:val="004E228A"/>
    <w:rsid w:val="004F688D"/>
    <w:rsid w:val="0050234C"/>
    <w:rsid w:val="00514821"/>
    <w:rsid w:val="00515EE2"/>
    <w:rsid w:val="00517A6C"/>
    <w:rsid w:val="005574B1"/>
    <w:rsid w:val="00567926"/>
    <w:rsid w:val="0057161E"/>
    <w:rsid w:val="00596158"/>
    <w:rsid w:val="005C4C6A"/>
    <w:rsid w:val="005C689A"/>
    <w:rsid w:val="005D1B26"/>
    <w:rsid w:val="005E31F7"/>
    <w:rsid w:val="005E5E08"/>
    <w:rsid w:val="005E7325"/>
    <w:rsid w:val="005F24AD"/>
    <w:rsid w:val="00612460"/>
    <w:rsid w:val="00630C04"/>
    <w:rsid w:val="00634C07"/>
    <w:rsid w:val="006B5F49"/>
    <w:rsid w:val="006D0EE9"/>
    <w:rsid w:val="006E553A"/>
    <w:rsid w:val="006F3069"/>
    <w:rsid w:val="00705418"/>
    <w:rsid w:val="00711C3F"/>
    <w:rsid w:val="00743468"/>
    <w:rsid w:val="007639FD"/>
    <w:rsid w:val="00777A23"/>
    <w:rsid w:val="00795F68"/>
    <w:rsid w:val="007A400B"/>
    <w:rsid w:val="007B636C"/>
    <w:rsid w:val="00820272"/>
    <w:rsid w:val="008572D2"/>
    <w:rsid w:val="008662CD"/>
    <w:rsid w:val="0087025A"/>
    <w:rsid w:val="008B3C53"/>
    <w:rsid w:val="008D25CA"/>
    <w:rsid w:val="008E784F"/>
    <w:rsid w:val="009019BA"/>
    <w:rsid w:val="0093036E"/>
    <w:rsid w:val="00937998"/>
    <w:rsid w:val="00947AFF"/>
    <w:rsid w:val="00947B86"/>
    <w:rsid w:val="00953D66"/>
    <w:rsid w:val="0097003B"/>
    <w:rsid w:val="0097674D"/>
    <w:rsid w:val="009775ED"/>
    <w:rsid w:val="009808B7"/>
    <w:rsid w:val="00986E90"/>
    <w:rsid w:val="009A353F"/>
    <w:rsid w:val="009B30E1"/>
    <w:rsid w:val="009B6F4D"/>
    <w:rsid w:val="009E32E3"/>
    <w:rsid w:val="009E45F6"/>
    <w:rsid w:val="009F48EC"/>
    <w:rsid w:val="00A07B14"/>
    <w:rsid w:val="00A8144F"/>
    <w:rsid w:val="00A82A81"/>
    <w:rsid w:val="00A90514"/>
    <w:rsid w:val="00A97E8E"/>
    <w:rsid w:val="00AE1E0E"/>
    <w:rsid w:val="00AE6FFF"/>
    <w:rsid w:val="00AF1846"/>
    <w:rsid w:val="00AF3F28"/>
    <w:rsid w:val="00B11706"/>
    <w:rsid w:val="00B22646"/>
    <w:rsid w:val="00B72121"/>
    <w:rsid w:val="00B7518E"/>
    <w:rsid w:val="00BA41D2"/>
    <w:rsid w:val="00BB2C1A"/>
    <w:rsid w:val="00BB47D7"/>
    <w:rsid w:val="00BD15BA"/>
    <w:rsid w:val="00BF380F"/>
    <w:rsid w:val="00C03CB4"/>
    <w:rsid w:val="00C1186A"/>
    <w:rsid w:val="00C20A62"/>
    <w:rsid w:val="00C225A5"/>
    <w:rsid w:val="00C22AF8"/>
    <w:rsid w:val="00C34FAD"/>
    <w:rsid w:val="00C43151"/>
    <w:rsid w:val="00C56A1A"/>
    <w:rsid w:val="00C6464F"/>
    <w:rsid w:val="00C768A5"/>
    <w:rsid w:val="00C94528"/>
    <w:rsid w:val="00CC0A78"/>
    <w:rsid w:val="00CE0A71"/>
    <w:rsid w:val="00CE1BA1"/>
    <w:rsid w:val="00CE7740"/>
    <w:rsid w:val="00D0099B"/>
    <w:rsid w:val="00D404BE"/>
    <w:rsid w:val="00D57F5D"/>
    <w:rsid w:val="00D64EDE"/>
    <w:rsid w:val="00D71502"/>
    <w:rsid w:val="00D8416C"/>
    <w:rsid w:val="00D90D2F"/>
    <w:rsid w:val="00DB5D4F"/>
    <w:rsid w:val="00DE36E7"/>
    <w:rsid w:val="00DF46AA"/>
    <w:rsid w:val="00E03234"/>
    <w:rsid w:val="00E06D04"/>
    <w:rsid w:val="00E13F7E"/>
    <w:rsid w:val="00E16B7A"/>
    <w:rsid w:val="00E16EEC"/>
    <w:rsid w:val="00E268F2"/>
    <w:rsid w:val="00E4439E"/>
    <w:rsid w:val="00E52861"/>
    <w:rsid w:val="00E57255"/>
    <w:rsid w:val="00E61EA2"/>
    <w:rsid w:val="00E64603"/>
    <w:rsid w:val="00E75402"/>
    <w:rsid w:val="00E811F4"/>
    <w:rsid w:val="00E82E0D"/>
    <w:rsid w:val="00E95804"/>
    <w:rsid w:val="00EA7DE6"/>
    <w:rsid w:val="00F0114D"/>
    <w:rsid w:val="00F31BF7"/>
    <w:rsid w:val="00F3349C"/>
    <w:rsid w:val="00F3763D"/>
    <w:rsid w:val="00F46ACC"/>
    <w:rsid w:val="00F50778"/>
    <w:rsid w:val="00F558C6"/>
    <w:rsid w:val="00F7339F"/>
    <w:rsid w:val="00F75F81"/>
    <w:rsid w:val="00F76AB3"/>
    <w:rsid w:val="00F822EE"/>
    <w:rsid w:val="00F94C0B"/>
    <w:rsid w:val="00FA506D"/>
    <w:rsid w:val="00FA742C"/>
    <w:rsid w:val="00FD178E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ListParagraph2">
    <w:name w:val="List Paragraph2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Style3">
    <w:name w:val="Style 3"/>
    <w:rsid w:val="00196985"/>
    <w:pPr>
      <w:widowControl w:val="0"/>
      <w:autoSpaceDE w:val="0"/>
      <w:autoSpaceDN w:val="0"/>
      <w:spacing w:line="278" w:lineRule="auto"/>
    </w:pPr>
    <w:rPr>
      <w:rFonts w:ascii="Times New Roman" w:eastAsia="Arial Unicode MS" w:hAnsi="Times New Roman" w:cs="Arial Unicode MS"/>
      <w:sz w:val="24"/>
      <w:szCs w:val="24"/>
      <w:lang w:val="en-US" w:eastAsia="en-US"/>
    </w:rPr>
  </w:style>
  <w:style w:type="paragraph" w:customStyle="1" w:styleId="Style1">
    <w:name w:val="Style 1"/>
    <w:rsid w:val="00196985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Arial Unicode MS"/>
      <w:lang w:val="en-US" w:eastAsia="en-US"/>
    </w:rPr>
  </w:style>
  <w:style w:type="character" w:customStyle="1" w:styleId="CharacterStyle1">
    <w:name w:val="Character Style 1"/>
    <w:rsid w:val="00196985"/>
    <w:rPr>
      <w:sz w:val="20"/>
    </w:rPr>
  </w:style>
  <w:style w:type="paragraph" w:styleId="ListParagraph">
    <w:name w:val="List Paragraph"/>
    <w:basedOn w:val="Normal"/>
    <w:uiPriority w:val="34"/>
    <w:qFormat/>
    <w:rsid w:val="009767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ListParagraph1">
    <w:name w:val="List Paragraph1"/>
    <w:basedOn w:val="Normal"/>
    <w:qFormat/>
    <w:rsid w:val="009767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Prrafodelista1">
    <w:name w:val="Párrafo de lista1"/>
    <w:basedOn w:val="Normal"/>
    <w:uiPriority w:val="34"/>
    <w:qFormat/>
    <w:rsid w:val="009767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Default">
    <w:name w:val="Default"/>
    <w:rsid w:val="00BA41D2"/>
    <w:pPr>
      <w:autoSpaceDE w:val="0"/>
      <w:autoSpaceDN w:val="0"/>
      <w:adjustRightInd w:val="0"/>
    </w:pPr>
    <w:rPr>
      <w:rFonts w:ascii="Code" w:eastAsiaTheme="minorHAnsi" w:hAnsi="Code" w:cs="Cod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1922</Words>
  <Characters>10575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creator>CSE/ Márgara de León</dc:creator>
  <cp:lastModifiedBy>María Claudia Verduzco Zepeda</cp:lastModifiedBy>
  <cp:revision>13</cp:revision>
  <cp:lastPrinted>2014-09-29T20:56:00Z</cp:lastPrinted>
  <dcterms:created xsi:type="dcterms:W3CDTF">2017-09-12T18:06:00Z</dcterms:created>
  <dcterms:modified xsi:type="dcterms:W3CDTF">2018-12-05T21:44:00Z</dcterms:modified>
</cp:coreProperties>
</file>