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443"/>
        <w:gridCol w:w="138"/>
        <w:gridCol w:w="1274"/>
        <w:gridCol w:w="569"/>
        <w:gridCol w:w="569"/>
        <w:gridCol w:w="1131"/>
        <w:gridCol w:w="567"/>
        <w:gridCol w:w="139"/>
        <w:gridCol w:w="406"/>
        <w:gridCol w:w="301"/>
        <w:gridCol w:w="288"/>
        <w:gridCol w:w="427"/>
        <w:gridCol w:w="116"/>
        <w:gridCol w:w="26"/>
        <w:gridCol w:w="416"/>
        <w:gridCol w:w="860"/>
        <w:gridCol w:w="572"/>
      </w:tblGrid>
      <w:tr w:rsidR="009B6F4D" w:rsidRPr="00A850DB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FF05A5" w:rsidRPr="00A850DB" w:rsidTr="009570DD">
        <w:trPr>
          <w:trHeight w:val="283"/>
        </w:trPr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7255" w:rsidRDefault="00FF05A5" w:rsidP="00FF05A5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03261D" w:rsidRDefault="00FF05A5" w:rsidP="00C95B8B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0242F9">
              <w:rPr>
                <w:rFonts w:ascii="Tahoma" w:hAnsi="Tahoma" w:cs="Tahoma"/>
                <w:b/>
                <w:szCs w:val="18"/>
                <w:lang w:val="es-ES_tradnl"/>
              </w:rPr>
              <w:t>Econom</w:t>
            </w:r>
            <w:r w:rsidR="005C638C">
              <w:rPr>
                <w:rFonts w:ascii="Tahoma" w:hAnsi="Tahoma" w:cs="Tahoma"/>
                <w:b/>
                <w:szCs w:val="18"/>
                <w:lang w:val="es-ES_tradnl"/>
              </w:rPr>
              <w:t>ía</w:t>
            </w:r>
            <w:r w:rsidRPr="000242F9">
              <w:rPr>
                <w:rFonts w:ascii="Tahoma" w:hAnsi="Tahoma" w:cs="Tahoma"/>
                <w:b/>
                <w:szCs w:val="18"/>
                <w:lang w:val="es-ES_tradnl"/>
              </w:rPr>
              <w:t xml:space="preserve"> de la educación y trabajo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7255" w:rsidRDefault="00FF05A5" w:rsidP="00FF05A5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18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0059FE" w:rsidRDefault="00FF05A5" w:rsidP="00FF05A5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Tercer s</w:t>
            </w: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9B6F4D" w:rsidRPr="00A850DB" w:rsidTr="009570DD">
        <w:trPr>
          <w:trHeight w:val="790"/>
        </w:trPr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A400B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7A400B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83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1pt;height:18.8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25pt;height:18.8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8.8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41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19" type="#_x0000_t75" style="width:48.2pt;height:18.8pt" o:ole="">
                  <v:imagedata r:id="rId14" o:title=""/>
                </v:shape>
                <w:control r:id="rId15" w:name="CheckBox1" w:shapeid="_x0000_i1119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bookmarkStart w:id="0" w:name="_GoBack"/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20" type="#_x0000_t75" style="width:62pt;height:18.8pt" o:ole="">
                  <v:imagedata r:id="rId16" o:title=""/>
                </v:shape>
                <w:control r:id="rId17" w:name="CheckBox2" w:shapeid="_x0000_i1120"/>
              </w:object>
            </w:r>
            <w:bookmarkEnd w:id="0"/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8.2pt;height:18.8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:rsidTr="009570DD">
        <w:trPr>
          <w:trHeight w:val="843"/>
        </w:trPr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2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C95B8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16" type="#_x0000_t75" style="width:63.25pt;height:18.8pt" o:ole="">
                  <v:imagedata r:id="rId20" o:title=""/>
                </v:shape>
                <w:control r:id="rId21" w:name="CheckBox7" w:shapeid="_x0000_i1116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15" type="#_x0000_t75" style="width:90.8pt;height:18.8pt" o:ole="">
                  <v:imagedata r:id="rId22" o:title=""/>
                </v:shape>
                <w:control r:id="rId23" w:name="CheckBox8" w:shapeid="_x0000_i111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18" type="#_x0000_t75" style="width:40.7pt;height:18.8pt" o:ole="">
                  <v:imagedata r:id="rId24" o:title=""/>
                </v:shape>
                <w:control r:id="rId25" w:name="CheckBox9" w:shapeid="_x0000_i1118"/>
              </w:object>
            </w:r>
          </w:p>
        </w:tc>
        <w:tc>
          <w:tcPr>
            <w:tcW w:w="18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41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.2pt;height:18.8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5.75pt;height:18.8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07.05pt;height:18.1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:rsidTr="009570DD">
        <w:trPr>
          <w:trHeight w:val="283"/>
        </w:trPr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C95B8B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6OP20</w:t>
            </w:r>
          </w:p>
        </w:tc>
        <w:tc>
          <w:tcPr>
            <w:tcW w:w="11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1E28E2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4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:rsidTr="009570DD">
        <w:trPr>
          <w:trHeight w:val="454"/>
        </w:trPr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17663" w:rsidRDefault="00FF05A5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1766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3</w:t>
            </w:r>
            <w:r w:rsidR="00196985" w:rsidRPr="00E1766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17663" w:rsidRDefault="00FF05A5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1766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5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9B6F4D" w:rsidRPr="00A850DB" w:rsidTr="00FE0E23">
        <w:trPr>
          <w:trHeight w:val="283"/>
        </w:trPr>
        <w:tc>
          <w:tcPr>
            <w:tcW w:w="10031" w:type="dxa"/>
            <w:gridSpan w:val="1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FF05A5" w:rsidRPr="00A850DB" w:rsidTr="009570DD">
        <w:trPr>
          <w:trHeight w:val="283"/>
        </w:trPr>
        <w:tc>
          <w:tcPr>
            <w:tcW w:w="23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7255" w:rsidRDefault="00FF05A5" w:rsidP="00FF05A5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766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6155DA" w:rsidRDefault="00FF05A5" w:rsidP="00FF05A5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6155DA">
              <w:rPr>
                <w:rFonts w:ascii="Tahoma" w:hAnsi="Tahoma" w:cs="Tahoma"/>
                <w:sz w:val="18"/>
                <w:szCs w:val="18"/>
              </w:rPr>
              <w:t>El alumno debe conocer los planteamientos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6155DA">
              <w:rPr>
                <w:rFonts w:ascii="Tahoma" w:hAnsi="Tahoma" w:cs="Tahoma"/>
                <w:sz w:val="18"/>
                <w:szCs w:val="18"/>
              </w:rPr>
              <w:t xml:space="preserve"> teorías y herramientas que utiliza el enfoque económico para explicar los diferentes as</w:t>
            </w:r>
            <w:r>
              <w:rPr>
                <w:rFonts w:ascii="Tahoma" w:hAnsi="Tahoma" w:cs="Tahoma"/>
                <w:sz w:val="18"/>
                <w:szCs w:val="18"/>
              </w:rPr>
              <w:t>pectos del fenómeno educativo, c</w:t>
            </w:r>
            <w:r w:rsidRPr="006155DA">
              <w:rPr>
                <w:rFonts w:ascii="Tahoma" w:hAnsi="Tahoma" w:cs="Tahoma"/>
                <w:sz w:val="18"/>
                <w:szCs w:val="18"/>
              </w:rPr>
              <w:t>omo son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6155DA">
              <w:rPr>
                <w:rFonts w:ascii="Tahoma" w:hAnsi="Tahoma" w:cs="Tahoma"/>
                <w:sz w:val="18"/>
                <w:szCs w:val="18"/>
              </w:rPr>
              <w:t xml:space="preserve"> los efectos económicos de la inversión educativa y la teoría del capital humano, las definiciones de gastos de educación, la estructura de costos educativos y la planificación del sistema de enseñanza.</w:t>
            </w:r>
          </w:p>
        </w:tc>
      </w:tr>
      <w:tr w:rsidR="00FF05A5" w:rsidRPr="00A850DB" w:rsidTr="009570DD">
        <w:trPr>
          <w:trHeight w:val="1069"/>
        </w:trPr>
        <w:tc>
          <w:tcPr>
            <w:tcW w:w="23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7255" w:rsidRDefault="00FF05A5" w:rsidP="00FF05A5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766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3A53" w:rsidRDefault="00FF05A5" w:rsidP="00FF05A5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Contribuir a que el alumno</w:t>
            </w:r>
            <w:r w:rsidRPr="00E53A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entienda</w:t>
            </w:r>
            <w:r w:rsidRPr="00E53A53">
              <w:rPr>
                <w:rFonts w:ascii="Tahoma" w:hAnsi="Tahoma" w:cs="Tahoma"/>
                <w:sz w:val="18"/>
                <w:szCs w:val="18"/>
              </w:rPr>
              <w:t xml:space="preserve"> la relación entre la economía y la educación, así como las diversas implicaciones que una tiene sobre la otra.</w:t>
            </w:r>
          </w:p>
        </w:tc>
      </w:tr>
      <w:tr w:rsidR="00FF05A5" w:rsidRPr="00A850DB" w:rsidTr="009570DD">
        <w:trPr>
          <w:trHeight w:val="283"/>
        </w:trPr>
        <w:tc>
          <w:tcPr>
            <w:tcW w:w="23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7255" w:rsidRDefault="00FF05A5" w:rsidP="00FF05A5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766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3A53" w:rsidRDefault="00FF05A5" w:rsidP="00FF05A5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F67873">
              <w:rPr>
                <w:rFonts w:ascii="Tahoma" w:hAnsi="Tahoma" w:cs="Tahoma"/>
                <w:sz w:val="18"/>
                <w:szCs w:val="18"/>
              </w:rPr>
              <w:t>Esta asignatura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atiende a la línea de especialización de </w:t>
            </w:r>
            <w:r w:rsidR="00DE62FB">
              <w:rPr>
                <w:rFonts w:ascii="Tahoma" w:hAnsi="Tahoma" w:cs="Tahoma"/>
                <w:sz w:val="18"/>
                <w:szCs w:val="18"/>
              </w:rPr>
              <w:t>Economía l</w:t>
            </w:r>
            <w:r w:rsidRPr="00E53A53">
              <w:rPr>
                <w:rFonts w:ascii="Tahoma" w:hAnsi="Tahoma" w:cs="Tahoma"/>
                <w:sz w:val="18"/>
                <w:szCs w:val="18"/>
              </w:rPr>
              <w:t>aboral.</w:t>
            </w:r>
          </w:p>
        </w:tc>
      </w:tr>
      <w:tr w:rsidR="00FF05A5" w:rsidRPr="00A850DB" w:rsidTr="009570DD">
        <w:trPr>
          <w:trHeight w:val="283"/>
        </w:trPr>
        <w:tc>
          <w:tcPr>
            <w:tcW w:w="23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7255" w:rsidRDefault="00FF05A5" w:rsidP="00FF05A5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766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53A53" w:rsidRDefault="00FF05A5" w:rsidP="00FF05A5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53A53">
              <w:rPr>
                <w:rFonts w:ascii="Tahoma" w:hAnsi="Tahoma" w:cs="Tahoma"/>
                <w:sz w:val="18"/>
                <w:szCs w:val="18"/>
              </w:rPr>
              <w:t>Profundizar en las diversas teorías que abordan la educación como un elemento más para incrementar el capital humano y por ende contar con mayores recursos para el crecimiento económico.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7A212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Temario</w:t>
            </w:r>
          </w:p>
        </w:tc>
      </w:tr>
      <w:tr w:rsidR="008D25CA" w:rsidRPr="00A850DB" w:rsidTr="009570DD">
        <w:trPr>
          <w:trHeight w:val="283"/>
        </w:trPr>
        <w:tc>
          <w:tcPr>
            <w:tcW w:w="22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5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7A212B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7A212B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325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7A212B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7A212B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7A212B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7A212B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FF05A5" w:rsidRPr="00A850DB" w:rsidTr="009570DD">
        <w:tc>
          <w:tcPr>
            <w:tcW w:w="22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17663" w:rsidRDefault="004A0704" w:rsidP="00517E51">
            <w:pPr>
              <w:pStyle w:val="Prrafodelista1"/>
              <w:spacing w:before="120" w:after="12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17663">
              <w:rPr>
                <w:rFonts w:ascii="Tahoma" w:hAnsi="Tahoma" w:cs="Tahoma"/>
                <w:sz w:val="18"/>
                <w:szCs w:val="18"/>
              </w:rPr>
              <w:t>1</w:t>
            </w:r>
            <w:r w:rsidR="00FF05A5" w:rsidRPr="00E17663">
              <w:rPr>
                <w:rFonts w:ascii="Tahoma" w:hAnsi="Tahoma" w:cs="Tahoma"/>
                <w:sz w:val="18"/>
                <w:szCs w:val="18"/>
              </w:rPr>
              <w:t>. La teoría del capital humano</w:t>
            </w:r>
          </w:p>
        </w:tc>
        <w:tc>
          <w:tcPr>
            <w:tcW w:w="25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7A212B" w:rsidRDefault="00FF05A5" w:rsidP="00517E5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Abord</w:t>
            </w:r>
            <w:r w:rsidR="007A212B" w:rsidRPr="007A212B">
              <w:rPr>
                <w:rFonts w:ascii="Tahoma" w:hAnsi="Tahoma" w:cs="Tahoma"/>
                <w:sz w:val="18"/>
                <w:szCs w:val="18"/>
              </w:rPr>
              <w:t>ar la teoría del capital humano</w:t>
            </w:r>
          </w:p>
        </w:tc>
        <w:tc>
          <w:tcPr>
            <w:tcW w:w="325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0704" w:rsidRPr="00E17663" w:rsidRDefault="00FF05A5" w:rsidP="00517E51">
            <w:pPr>
              <w:pStyle w:val="ListParagraph"/>
              <w:numPr>
                <w:ilvl w:val="1"/>
                <w:numId w:val="8"/>
              </w:numPr>
              <w:spacing w:before="120" w:after="120"/>
              <w:ind w:left="462" w:hanging="425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Fundamentos de la teoría</w:t>
            </w:r>
          </w:p>
          <w:p w:rsidR="004A0704" w:rsidRPr="00E17663" w:rsidRDefault="00FF05A5" w:rsidP="00517E51">
            <w:pPr>
              <w:pStyle w:val="ListParagraph"/>
              <w:numPr>
                <w:ilvl w:val="1"/>
                <w:numId w:val="8"/>
              </w:numPr>
              <w:spacing w:before="120" w:after="120"/>
              <w:ind w:left="462" w:hanging="425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La tasa de rendimiento interno de la educación</w:t>
            </w:r>
          </w:p>
          <w:p w:rsidR="004A0704" w:rsidRPr="00E17663" w:rsidRDefault="00FF05A5" w:rsidP="00517E51">
            <w:pPr>
              <w:pStyle w:val="ListParagraph"/>
              <w:numPr>
                <w:ilvl w:val="1"/>
                <w:numId w:val="8"/>
              </w:numPr>
              <w:spacing w:before="120" w:after="120"/>
              <w:ind w:left="462" w:hanging="425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Críticas a la teoría del capital humano</w:t>
            </w:r>
          </w:p>
          <w:p w:rsidR="004A0704" w:rsidRPr="00E17663" w:rsidRDefault="00FF05A5" w:rsidP="00517E51">
            <w:pPr>
              <w:pStyle w:val="ListParagraph"/>
              <w:numPr>
                <w:ilvl w:val="1"/>
                <w:numId w:val="8"/>
              </w:numPr>
              <w:spacing w:before="120" w:after="120"/>
              <w:ind w:left="462" w:hanging="425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Evidencia empírica</w:t>
            </w:r>
            <w:r w:rsidR="00ED5F56" w:rsidRPr="00E17663">
              <w:rPr>
                <w:rFonts w:ascii="Tahoma" w:hAnsi="Tahoma" w:cs="Tahoma"/>
                <w:sz w:val="17"/>
                <w:szCs w:val="17"/>
              </w:rPr>
              <w:t xml:space="preserve"> y estrategias de identificación</w:t>
            </w:r>
          </w:p>
        </w:tc>
        <w:tc>
          <w:tcPr>
            <w:tcW w:w="19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7A212B" w:rsidRDefault="00FF05A5" w:rsidP="00517E5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Control de lecturas</w:t>
            </w:r>
          </w:p>
          <w:p w:rsidR="00FF05A5" w:rsidRPr="007A212B" w:rsidRDefault="00FF05A5" w:rsidP="00517E5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sz w:val="18"/>
                <w:szCs w:val="18"/>
                <w:lang w:val="es-ES_tradnl"/>
              </w:rPr>
              <w:t>Ejercicios</w:t>
            </w:r>
          </w:p>
        </w:tc>
      </w:tr>
      <w:tr w:rsidR="00FF05A5" w:rsidRPr="00A850DB" w:rsidTr="009570DD">
        <w:tc>
          <w:tcPr>
            <w:tcW w:w="22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17663" w:rsidRDefault="004A0704" w:rsidP="00517E5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17663">
              <w:rPr>
                <w:rFonts w:ascii="Tahoma" w:hAnsi="Tahoma" w:cs="Tahoma"/>
                <w:sz w:val="18"/>
                <w:szCs w:val="18"/>
              </w:rPr>
              <w:t>2</w:t>
            </w:r>
            <w:r w:rsidR="00FF05A5" w:rsidRPr="00E17663">
              <w:rPr>
                <w:rFonts w:ascii="Tahoma" w:hAnsi="Tahoma" w:cs="Tahoma"/>
                <w:sz w:val="18"/>
                <w:szCs w:val="18"/>
              </w:rPr>
              <w:t>. La demanda de educación</w:t>
            </w:r>
          </w:p>
        </w:tc>
        <w:tc>
          <w:tcPr>
            <w:tcW w:w="25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7A212B" w:rsidRDefault="00FF05A5" w:rsidP="00517E5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Analizar la demanda de educación</w:t>
            </w:r>
          </w:p>
        </w:tc>
        <w:tc>
          <w:tcPr>
            <w:tcW w:w="325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5F56" w:rsidRPr="00E17663" w:rsidRDefault="00FF05A5" w:rsidP="00517E51">
            <w:pPr>
              <w:pStyle w:val="ListParagraph"/>
              <w:numPr>
                <w:ilvl w:val="1"/>
                <w:numId w:val="10"/>
              </w:num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El modelo de inversión óptima de capital humano</w:t>
            </w:r>
          </w:p>
          <w:p w:rsidR="00ED5F56" w:rsidRPr="00E17663" w:rsidRDefault="00FF05A5" w:rsidP="00517E51">
            <w:pPr>
              <w:pStyle w:val="ListParagraph"/>
              <w:numPr>
                <w:ilvl w:val="1"/>
                <w:numId w:val="10"/>
              </w:num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El modelo de elegibilidad</w:t>
            </w:r>
          </w:p>
          <w:p w:rsidR="009570DD" w:rsidRPr="00E17663" w:rsidRDefault="00FF05A5" w:rsidP="00517E51">
            <w:pPr>
              <w:pStyle w:val="ListParagraph"/>
              <w:numPr>
                <w:ilvl w:val="1"/>
                <w:numId w:val="10"/>
              </w:num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Predicciones de los modelos</w:t>
            </w:r>
          </w:p>
          <w:p w:rsidR="009570DD" w:rsidRPr="00E17663" w:rsidRDefault="009570DD" w:rsidP="00517E51">
            <w:pPr>
              <w:pStyle w:val="ListParagraph"/>
              <w:numPr>
                <w:ilvl w:val="1"/>
                <w:numId w:val="10"/>
              </w:num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Evidencia empírica: educación temprana</w:t>
            </w:r>
          </w:p>
        </w:tc>
        <w:tc>
          <w:tcPr>
            <w:tcW w:w="19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7A212B" w:rsidRDefault="00FF05A5" w:rsidP="00517E5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sz w:val="18"/>
                <w:szCs w:val="18"/>
                <w:lang w:val="es-ES_tradnl"/>
              </w:rPr>
              <w:t>Ejercicios</w:t>
            </w:r>
          </w:p>
        </w:tc>
      </w:tr>
      <w:tr w:rsidR="00FF05A5" w:rsidRPr="00A850DB" w:rsidTr="009570DD">
        <w:tc>
          <w:tcPr>
            <w:tcW w:w="22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17663" w:rsidRDefault="004A0704" w:rsidP="00517E51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17663">
              <w:rPr>
                <w:rFonts w:ascii="Tahoma" w:hAnsi="Tahoma" w:cs="Tahoma"/>
                <w:sz w:val="18"/>
                <w:szCs w:val="18"/>
              </w:rPr>
              <w:t>3</w:t>
            </w:r>
            <w:r w:rsidR="00FF05A5" w:rsidRPr="00E17663">
              <w:rPr>
                <w:rFonts w:ascii="Tahoma" w:hAnsi="Tahoma" w:cs="Tahoma"/>
                <w:sz w:val="18"/>
                <w:szCs w:val="18"/>
              </w:rPr>
              <w:t>. La producción de la educación</w:t>
            </w:r>
          </w:p>
        </w:tc>
        <w:tc>
          <w:tcPr>
            <w:tcW w:w="25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7A212B" w:rsidRDefault="00FF05A5" w:rsidP="00517E5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Indagar sobre el proceso que sigue la producción de la educación</w:t>
            </w:r>
          </w:p>
        </w:tc>
        <w:tc>
          <w:tcPr>
            <w:tcW w:w="325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5F56" w:rsidRPr="00E17663" w:rsidRDefault="00FF05A5" w:rsidP="00517E51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Eficiencia e</w:t>
            </w:r>
            <w:r w:rsidR="00ED5F56" w:rsidRPr="00E17663">
              <w:rPr>
                <w:rFonts w:ascii="Tahoma" w:hAnsi="Tahoma" w:cs="Tahoma"/>
                <w:sz w:val="17"/>
                <w:szCs w:val="17"/>
              </w:rPr>
              <w:t>n la producción de la educación</w:t>
            </w:r>
          </w:p>
          <w:p w:rsidR="009570DD" w:rsidRPr="00E17663" w:rsidRDefault="00ED5F56" w:rsidP="00517E51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El modelo de producción</w:t>
            </w:r>
            <w:r w:rsidR="009570DD" w:rsidRPr="00E17663">
              <w:rPr>
                <w:rFonts w:ascii="Tahoma" w:hAnsi="Tahoma" w:cs="Tahoma"/>
                <w:sz w:val="17"/>
                <w:szCs w:val="17"/>
              </w:rPr>
              <w:t xml:space="preserve"> y oferta educativa</w:t>
            </w:r>
          </w:p>
          <w:p w:rsidR="00FF05A5" w:rsidRPr="00E17663" w:rsidRDefault="00FF05A5" w:rsidP="00517E51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Tahoma" w:hAnsi="Tahoma" w:cs="Tahoma"/>
                <w:sz w:val="17"/>
                <w:szCs w:val="17"/>
              </w:rPr>
            </w:pPr>
            <w:r w:rsidRPr="00E17663">
              <w:rPr>
                <w:rFonts w:ascii="Tahoma" w:hAnsi="Tahoma" w:cs="Tahoma"/>
                <w:sz w:val="17"/>
                <w:szCs w:val="17"/>
              </w:rPr>
              <w:t>Evidencia empírica</w:t>
            </w:r>
            <w:r w:rsidR="009570DD" w:rsidRPr="00E17663">
              <w:rPr>
                <w:rFonts w:ascii="Tahoma" w:hAnsi="Tahoma" w:cs="Tahoma"/>
                <w:sz w:val="17"/>
                <w:szCs w:val="17"/>
              </w:rPr>
              <w:t>: importancia de la calidad de los profesores</w:t>
            </w:r>
          </w:p>
        </w:tc>
        <w:tc>
          <w:tcPr>
            <w:tcW w:w="19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70DD" w:rsidRPr="007A212B" w:rsidRDefault="009570DD" w:rsidP="00517E5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Control de lecturas</w:t>
            </w:r>
          </w:p>
          <w:p w:rsidR="00FF05A5" w:rsidRPr="007A212B" w:rsidRDefault="00FF05A5" w:rsidP="00517E5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sz w:val="18"/>
                <w:szCs w:val="18"/>
                <w:lang w:val="es-ES_tradnl"/>
              </w:rPr>
              <w:t>Examen parcial</w:t>
            </w:r>
          </w:p>
        </w:tc>
      </w:tr>
      <w:tr w:rsidR="00FF05A5" w:rsidRPr="00A850DB" w:rsidTr="009570DD">
        <w:tc>
          <w:tcPr>
            <w:tcW w:w="223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17663" w:rsidRDefault="004A0704" w:rsidP="00517E5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17663">
              <w:rPr>
                <w:rFonts w:ascii="Tahoma" w:hAnsi="Tahoma" w:cs="Tahoma"/>
                <w:sz w:val="18"/>
                <w:szCs w:val="18"/>
              </w:rPr>
              <w:t>4</w:t>
            </w:r>
            <w:r w:rsidR="00FF05A5" w:rsidRPr="00E17663">
              <w:rPr>
                <w:rFonts w:ascii="Tahoma" w:hAnsi="Tahoma" w:cs="Tahoma"/>
                <w:sz w:val="18"/>
                <w:szCs w:val="18"/>
              </w:rPr>
              <w:t>. Función de costos de la educación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8466F8" w:rsidRDefault="00FF05A5" w:rsidP="00517E5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8466F8">
              <w:rPr>
                <w:rFonts w:ascii="Tahoma" w:hAnsi="Tahoma" w:cs="Tahoma"/>
                <w:sz w:val="17"/>
                <w:szCs w:val="17"/>
              </w:rPr>
              <w:t xml:space="preserve">Construir y analizar la función de costos de la </w:t>
            </w:r>
            <w:r w:rsidRPr="008466F8">
              <w:rPr>
                <w:rFonts w:ascii="Tahoma" w:hAnsi="Tahoma" w:cs="Tahoma"/>
                <w:sz w:val="17"/>
                <w:szCs w:val="17"/>
              </w:rPr>
              <w:lastRenderedPageBreak/>
              <w:t>educación</w:t>
            </w:r>
          </w:p>
        </w:tc>
        <w:tc>
          <w:tcPr>
            <w:tcW w:w="325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FF2" w:rsidRDefault="00FF05A5" w:rsidP="00517E51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lastRenderedPageBreak/>
              <w:t>A</w:t>
            </w:r>
            <w:r w:rsidR="00FA0FF2" w:rsidRPr="007A212B">
              <w:rPr>
                <w:rFonts w:ascii="Tahoma" w:hAnsi="Tahoma" w:cs="Tahoma"/>
                <w:sz w:val="18"/>
                <w:szCs w:val="18"/>
              </w:rPr>
              <w:t>nálisis económico de los costos</w:t>
            </w:r>
          </w:p>
          <w:p w:rsidR="008466F8" w:rsidRPr="007A212B" w:rsidRDefault="008466F8" w:rsidP="008466F8">
            <w:pPr>
              <w:pStyle w:val="ListParagraph"/>
              <w:spacing w:before="120" w:after="120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A0FF2" w:rsidRPr="007A212B" w:rsidRDefault="00FF05A5" w:rsidP="00517E51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Especif</w:t>
            </w:r>
            <w:r w:rsidR="00FA0FF2" w:rsidRPr="007A212B">
              <w:rPr>
                <w:rFonts w:ascii="Tahoma" w:hAnsi="Tahoma" w:cs="Tahoma"/>
                <w:sz w:val="18"/>
                <w:szCs w:val="18"/>
              </w:rPr>
              <w:t>icación de la función de costos</w:t>
            </w:r>
          </w:p>
          <w:p w:rsidR="00FA0FF2" w:rsidRPr="007A212B" w:rsidRDefault="00FF05A5" w:rsidP="00517E51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Economías d</w:t>
            </w:r>
            <w:r w:rsidR="00FA0FF2" w:rsidRPr="007A212B">
              <w:rPr>
                <w:rFonts w:ascii="Tahoma" w:hAnsi="Tahoma" w:cs="Tahoma"/>
                <w:sz w:val="18"/>
                <w:szCs w:val="18"/>
              </w:rPr>
              <w:t>e escala y economías de alcance</w:t>
            </w:r>
          </w:p>
          <w:p w:rsidR="00FF05A5" w:rsidRPr="007A212B" w:rsidRDefault="00FF05A5" w:rsidP="00517E51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Evidencia empírica</w:t>
            </w:r>
          </w:p>
        </w:tc>
        <w:tc>
          <w:tcPr>
            <w:tcW w:w="199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7A212B" w:rsidRDefault="00FF05A5" w:rsidP="00517E5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lastRenderedPageBreak/>
              <w:t>Control de lecturas</w:t>
            </w:r>
          </w:p>
          <w:p w:rsidR="00FF05A5" w:rsidRPr="007A212B" w:rsidRDefault="00FF05A5" w:rsidP="00517E5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Ejercicios</w:t>
            </w:r>
          </w:p>
        </w:tc>
      </w:tr>
      <w:tr w:rsidR="00FF05A5" w:rsidRPr="00A850DB" w:rsidTr="009570DD">
        <w:tc>
          <w:tcPr>
            <w:tcW w:w="223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E17663" w:rsidRDefault="004A0704" w:rsidP="00517E5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17663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  <w:r w:rsidR="00FF05A5" w:rsidRPr="00E17663">
              <w:rPr>
                <w:rFonts w:ascii="Tahoma" w:hAnsi="Tahoma" w:cs="Tahoma"/>
                <w:sz w:val="18"/>
                <w:szCs w:val="18"/>
              </w:rPr>
              <w:t>. Planificación de los modelos educativos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7A212B" w:rsidRDefault="00FF05A5" w:rsidP="00517E5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Conocer diversos enfoques teóricos a partir de los cuales se pl</w:t>
            </w:r>
            <w:r w:rsidR="007A212B" w:rsidRPr="007A212B">
              <w:rPr>
                <w:rFonts w:ascii="Tahoma" w:hAnsi="Tahoma" w:cs="Tahoma"/>
                <w:sz w:val="18"/>
                <w:szCs w:val="18"/>
              </w:rPr>
              <w:t>anifican los modelos educativos</w:t>
            </w:r>
          </w:p>
        </w:tc>
        <w:tc>
          <w:tcPr>
            <w:tcW w:w="325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FF2" w:rsidRPr="007A212B" w:rsidRDefault="00FA0FF2" w:rsidP="00517E51">
            <w:pPr>
              <w:pStyle w:val="ListParagraph"/>
              <w:numPr>
                <w:ilvl w:val="1"/>
                <w:numId w:val="16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Enfoque de demanda social</w:t>
            </w:r>
          </w:p>
          <w:p w:rsidR="00FA0FF2" w:rsidRPr="007A212B" w:rsidRDefault="00FF05A5" w:rsidP="00517E51">
            <w:pPr>
              <w:pStyle w:val="ListParagraph"/>
              <w:numPr>
                <w:ilvl w:val="1"/>
                <w:numId w:val="16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Enfoque</w:t>
            </w:r>
            <w:r w:rsidR="00FA0FF2" w:rsidRPr="007A212B">
              <w:rPr>
                <w:rFonts w:ascii="Tahoma" w:hAnsi="Tahoma" w:cs="Tahoma"/>
                <w:sz w:val="18"/>
                <w:szCs w:val="18"/>
              </w:rPr>
              <w:t xml:space="preserve"> de necesidades de mano de obra</w:t>
            </w:r>
          </w:p>
          <w:p w:rsidR="00FA0FF2" w:rsidRPr="007A212B" w:rsidRDefault="00FF05A5" w:rsidP="00517E51">
            <w:pPr>
              <w:pStyle w:val="ListParagraph"/>
              <w:numPr>
                <w:ilvl w:val="1"/>
                <w:numId w:val="16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Enfoque costo-</w:t>
            </w:r>
            <w:r w:rsidR="00FA0FF2" w:rsidRPr="007A212B">
              <w:rPr>
                <w:rFonts w:ascii="Tahoma" w:hAnsi="Tahoma" w:cs="Tahoma"/>
                <w:sz w:val="18"/>
                <w:szCs w:val="18"/>
              </w:rPr>
              <w:t>beneficio</w:t>
            </w:r>
          </w:p>
          <w:p w:rsidR="00FF05A5" w:rsidRPr="007A212B" w:rsidRDefault="00FF05A5" w:rsidP="00517E51">
            <w:pPr>
              <w:pStyle w:val="ListParagraph"/>
              <w:numPr>
                <w:ilvl w:val="1"/>
                <w:numId w:val="16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Modelos de optimización</w:t>
            </w:r>
          </w:p>
        </w:tc>
        <w:tc>
          <w:tcPr>
            <w:tcW w:w="199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Pr="007A212B" w:rsidRDefault="00517E51" w:rsidP="00517E5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</w:tc>
      </w:tr>
      <w:tr w:rsidR="00517E51" w:rsidRPr="00A850DB" w:rsidTr="009570DD">
        <w:tc>
          <w:tcPr>
            <w:tcW w:w="223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E51" w:rsidRPr="00E17663" w:rsidRDefault="00517E51" w:rsidP="00517E5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17663">
              <w:rPr>
                <w:rFonts w:ascii="Tahoma" w:hAnsi="Tahoma" w:cs="Tahoma"/>
                <w:sz w:val="18"/>
                <w:szCs w:val="18"/>
              </w:rPr>
              <w:t>6. Economía de la educación aplicada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E51" w:rsidRPr="007A212B" w:rsidRDefault="00517E51" w:rsidP="00517E5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Conocer la evidencia empírica que existe en algunos temas selectos dentro de la economía de la educación</w:t>
            </w:r>
          </w:p>
        </w:tc>
        <w:tc>
          <w:tcPr>
            <w:tcW w:w="325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E51" w:rsidRPr="007A212B" w:rsidRDefault="00517E51" w:rsidP="00517E51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Programas sociales y sus efectos sobre la educación</w:t>
            </w:r>
          </w:p>
          <w:p w:rsidR="00517E51" w:rsidRPr="007A212B" w:rsidRDefault="00517E51" w:rsidP="00517E51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 xml:space="preserve">Efectos de pares o </w:t>
            </w:r>
            <w:r w:rsidRPr="007A212B">
              <w:rPr>
                <w:rFonts w:ascii="Tahoma" w:hAnsi="Tahoma" w:cs="Tahoma"/>
                <w:i/>
                <w:sz w:val="18"/>
                <w:szCs w:val="18"/>
              </w:rPr>
              <w:t>peer effects</w:t>
            </w:r>
          </w:p>
          <w:p w:rsidR="00517E51" w:rsidRPr="007A212B" w:rsidRDefault="00E96CD5" w:rsidP="00517E51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Número de alumnos en el</w:t>
            </w:r>
            <w:r w:rsidR="00517E51" w:rsidRPr="007A212B">
              <w:rPr>
                <w:rFonts w:ascii="Tahoma" w:hAnsi="Tahoma" w:cs="Tahoma"/>
                <w:sz w:val="18"/>
                <w:szCs w:val="18"/>
              </w:rPr>
              <w:t xml:space="preserve"> salón de clases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 grupo) y desempeño académico</w:t>
            </w:r>
          </w:p>
          <w:p w:rsidR="00517E51" w:rsidRPr="007A212B" w:rsidRDefault="00517E51" w:rsidP="00517E51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A212B">
              <w:rPr>
                <w:rFonts w:ascii="Tahoma" w:hAnsi="Tahoma" w:cs="Tahoma"/>
                <w:sz w:val="18"/>
                <w:szCs w:val="18"/>
              </w:rPr>
              <w:t>Retornos sociales a la educación</w:t>
            </w:r>
          </w:p>
        </w:tc>
        <w:tc>
          <w:tcPr>
            <w:tcW w:w="199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E51" w:rsidRPr="007A212B" w:rsidRDefault="00517E51" w:rsidP="00517E51">
            <w:pPr>
              <w:pStyle w:val="ListParagraph"/>
              <w:numPr>
                <w:ilvl w:val="0"/>
                <w:numId w:val="19"/>
              </w:numPr>
              <w:spacing w:before="120" w:after="120"/>
              <w:ind w:left="184" w:hanging="142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sz w:val="18"/>
                <w:szCs w:val="18"/>
                <w:lang w:val="es-ES_tradnl"/>
              </w:rPr>
              <w:t>Examen final</w:t>
            </w:r>
          </w:p>
          <w:p w:rsidR="00517E51" w:rsidRPr="007A212B" w:rsidRDefault="00517E51" w:rsidP="00517E51">
            <w:pPr>
              <w:pStyle w:val="ListParagraph"/>
              <w:numPr>
                <w:ilvl w:val="0"/>
                <w:numId w:val="19"/>
              </w:numPr>
              <w:spacing w:before="120" w:after="120"/>
              <w:ind w:left="184" w:hanging="142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7A212B">
              <w:rPr>
                <w:rFonts w:ascii="Tahoma" w:hAnsi="Tahoma" w:cs="Tahoma"/>
                <w:sz w:val="18"/>
                <w:szCs w:val="18"/>
                <w:lang w:val="es-ES_tradnl"/>
              </w:rPr>
              <w:t>Trabajo final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1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FF05A5" w:rsidRPr="00A850DB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Default="00FF05A5" w:rsidP="00FF05A5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85F">
              <w:rPr>
                <w:rFonts w:ascii="Tahoma" w:hAnsi="Tahoma" w:cs="Tahoma"/>
                <w:sz w:val="18"/>
                <w:szCs w:val="18"/>
              </w:rPr>
              <w:t xml:space="preserve">El curso </w:t>
            </w:r>
            <w:r>
              <w:rPr>
                <w:rFonts w:ascii="Tahoma" w:hAnsi="Tahoma" w:cs="Tahoma"/>
                <w:sz w:val="18"/>
                <w:szCs w:val="18"/>
              </w:rPr>
              <w:t>se desarrollará mediante los siguientes elementos:</w:t>
            </w:r>
          </w:p>
          <w:p w:rsidR="00FF05A5" w:rsidRPr="00933D90" w:rsidRDefault="00FF05A5" w:rsidP="00FF05A5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217EC">
              <w:rPr>
                <w:rFonts w:ascii="Tahoma" w:hAnsi="Tahoma" w:cs="Tahoma"/>
                <w:spacing w:val="-3"/>
                <w:sz w:val="18"/>
                <w:szCs w:val="18"/>
              </w:rPr>
              <w:t>Impartición mediante exposiciones por parte del profesor</w:t>
            </w:r>
          </w:p>
          <w:p w:rsidR="00FF05A5" w:rsidRDefault="00FF05A5" w:rsidP="00FF05A5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Lectura del material bibliográfico señalado</w:t>
            </w:r>
          </w:p>
          <w:p w:rsidR="00FF05A5" w:rsidRPr="003A23D6" w:rsidRDefault="009570DD" w:rsidP="00FF05A5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Realización de tareas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FF05A5" w:rsidRPr="00A850DB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5A5" w:rsidRDefault="00FF05A5" w:rsidP="00FF05A5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66875">
              <w:rPr>
                <w:rFonts w:ascii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hAnsi="Tahoma" w:cs="Tahoma"/>
                <w:sz w:val="18"/>
                <w:szCs w:val="18"/>
              </w:rPr>
              <w:t>calificación final estará compuesta de la siguiente manera:</w:t>
            </w:r>
          </w:p>
          <w:p w:rsidR="00FF05A5" w:rsidRPr="003A23D6" w:rsidRDefault="00FA0FF2" w:rsidP="00FF05A5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 xml:space="preserve">Control de lecturas, </w:t>
            </w:r>
            <w:r w:rsidR="009570DD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10</w:t>
            </w:r>
            <w:r w:rsidR="00FF05A5" w:rsidRPr="003A23D6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%</w:t>
            </w:r>
          </w:p>
          <w:p w:rsidR="00FF05A5" w:rsidRPr="003A23D6" w:rsidRDefault="009570DD" w:rsidP="00FF05A5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Ejercicios, 20</w:t>
            </w:r>
            <w:r w:rsidR="00FF05A5" w:rsidRPr="003A23D6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%</w:t>
            </w:r>
          </w:p>
          <w:p w:rsidR="00FF05A5" w:rsidRPr="003A23D6" w:rsidRDefault="00FF05A5" w:rsidP="00FF05A5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3A23D6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Exámenes, 40%</w:t>
            </w:r>
          </w:p>
          <w:p w:rsidR="00FF05A5" w:rsidRPr="003A23D6" w:rsidRDefault="00FA0FF2" w:rsidP="00FF05A5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Trabajo final, 30</w:t>
            </w:r>
            <w:r w:rsidR="00FF05A5" w:rsidRPr="003A23D6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%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E52861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FF05A5" w:rsidRPr="00C95B8B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B3FCC" w:rsidRPr="00E96CD5" w:rsidRDefault="004B3FCC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Angrist, Joshua y Victor Lavy. 2001.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"Does teacher training affect pupil learning? Evidence from matched comparisons in Jerusalem public schools",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Journal of Labor Economics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, vol. 19, núm. 2, pp. 343-369.</w:t>
            </w:r>
          </w:p>
          <w:p w:rsidR="004B3FCC" w:rsidRPr="00E96CD5" w:rsidRDefault="009570DD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Autor, David, Frank Levy, y Richard J. Murnane. 2003. "The consequences of increasing the nation’s supply of college graduates." Policy Brief, Gates Foundation.</w:t>
            </w:r>
          </w:p>
          <w:p w:rsidR="009570DD" w:rsidRPr="00E96CD5" w:rsidRDefault="00CB5CA5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Becker, Gary </w:t>
            </w:r>
            <w:r w:rsidR="00FF05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S., 1962, “Investment in human capital: a theoretical analysis”, </w:t>
            </w:r>
            <w:r w:rsidR="00FF05A5"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 xml:space="preserve">Journal of Political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E</w:t>
            </w:r>
            <w:r w:rsidR="00FF05A5"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conomy</w:t>
            </w:r>
            <w:r w:rsidR="00FF05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n</w:t>
            </w:r>
            <w:r w:rsidR="00FF05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úm. 70, pp. 9-49.</w:t>
            </w:r>
          </w:p>
          <w:p w:rsidR="00FF05A5" w:rsidRPr="00E96CD5" w:rsidRDefault="00CB5CA5" w:rsidP="008B370D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Becker, Gary </w:t>
            </w:r>
            <w:r w:rsidR="00FF05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S., 1993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</w:t>
            </w:r>
            <w:r w:rsidR="00FF05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F05A5"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Human Capital. A Theoretical and Empirical Analysis with Special Reference to Education</w:t>
            </w:r>
            <w:r w:rsidR="00FF05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The University of Chicago Press.</w:t>
            </w:r>
          </w:p>
          <w:p w:rsidR="00FF05A5" w:rsidRPr="00E96CD5" w:rsidRDefault="00FF05A5" w:rsidP="008B370D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Blaug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Mark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1985, “Where are we now in the economics of education?”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Economics of Education Review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n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ú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m. 4, vol. 1,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pp.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17-28.</w:t>
            </w:r>
          </w:p>
          <w:p w:rsidR="004B3FCC" w:rsidRPr="00E96CD5" w:rsidRDefault="00CB5CA5" w:rsidP="004B3FCC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Borjas, George J., 2005,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Labor Economics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3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vertAlign w:val="superscript"/>
                <w:lang w:val="en-US"/>
              </w:rPr>
              <w:t>rd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ed., McGraw-Hill.</w:t>
            </w:r>
          </w:p>
          <w:p w:rsidR="004B3FCC" w:rsidRPr="00E96CD5" w:rsidRDefault="004B3FCC" w:rsidP="004B3FCC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Cahuc, Pierre, Stéphane Carcillo, and André Zylberberg. 2014. </w:t>
            </w:r>
            <w:r w:rsidRPr="00E96CD5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Labor economics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 MIT press.</w:t>
            </w:r>
          </w:p>
          <w:p w:rsidR="004B3FCC" w:rsidRPr="00E96CD5" w:rsidRDefault="004B3FCC" w:rsidP="004B3FCC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Card, David, 1999, The causal effect of education on earnings. </w:t>
            </w:r>
            <w:r w:rsidRPr="00E96CD5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Handbook of labor economics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, </w:t>
            </w:r>
            <w:r w:rsidR="00743428"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vol. </w:t>
            </w:r>
            <w:r w:rsidRPr="00E96CD5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, pp. 1801-1863.</w:t>
            </w:r>
          </w:p>
          <w:p w:rsidR="004B3FCC" w:rsidRPr="00E96CD5" w:rsidRDefault="004B3FCC" w:rsidP="004B3FCC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Card, David, 1993, "Using geographic variation in college proximity to estimate the return to schooling",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National Bureau of Economic Research Working Paper No. 4483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1B4959" w:rsidRDefault="001B4959" w:rsidP="004B3FCC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  <w:p w:rsidR="008466F8" w:rsidRDefault="008466F8" w:rsidP="004B3FCC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  <w:p w:rsidR="004B3FCC" w:rsidRPr="00E96CD5" w:rsidRDefault="00FF05A5" w:rsidP="004B3FCC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Cohn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E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.; S. L.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Rhiney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y M.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C. Santos, 1989, “Institutions of higher education as multiple product firms: economies of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scale and Scope”,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The Review of Economics and Statistics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nú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m. 71, 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v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ol. 2, pp. 284-290.</w:t>
            </w:r>
          </w:p>
          <w:p w:rsidR="004B3FCC" w:rsidRPr="00E96CD5" w:rsidRDefault="004B3FCC" w:rsidP="004B3FCC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Duflo, Esther, 2001, "Schooling and labor market consequences of school construction in Indonesia: Evidence from an unusual policy experiment", American Economic Review, vol. 91, núm. 4, pp. 795-800.</w:t>
            </w:r>
          </w:p>
          <w:p w:rsidR="004B3FCC" w:rsidRPr="00E96CD5" w:rsidRDefault="00FF05A5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Eherenberg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Ronald y Robert Smith, 2003,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Modern Labor Economics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8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vertAlign w:val="superscript"/>
                <w:lang w:val="en-US"/>
              </w:rPr>
              <w:t>th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ed.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USA, Addison Wesley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B3FCC" w:rsidRPr="00E96CD5" w:rsidRDefault="004B3FCC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Feinstein, Leon, 2003, "Inequality in the early cognitive development of British children in the 1970 cohort",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Economica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, vol. 70, núm. 277, pp. 73-97.</w:t>
            </w:r>
          </w:p>
          <w:p w:rsidR="00FF05A5" w:rsidRPr="00E96CD5" w:rsidRDefault="00FF05A5" w:rsidP="008B370D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Getz, M., 1991, “Estimating economies of scale in higher education”, </w:t>
            </w:r>
            <w:r w:rsidRPr="00E96CD5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lang w:val="en-US"/>
              </w:rPr>
              <w:t>Economic Letters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vol. 11, n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úm. 4, pp. 203-208.</w:t>
            </w:r>
          </w:p>
          <w:p w:rsidR="00FF05A5" w:rsidRPr="00E96CD5" w:rsidRDefault="00FF05A5" w:rsidP="008B370D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Hanushek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, E.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A., 1986, “The economics of schooling, production and efficiency in public schools”,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Journal of Economic Literature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nú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m. 24, pp. 1141-1177.</w:t>
            </w:r>
          </w:p>
          <w:p w:rsidR="004B3FCC" w:rsidRPr="00E96CD5" w:rsidRDefault="00FF05A5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Lassibille, G. y M. L. Navarro, 2004,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Manual de economía de la educación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Madrid, Editorial Pirámide.</w:t>
            </w:r>
          </w:p>
          <w:p w:rsidR="004B3FCC" w:rsidRPr="00E96CD5" w:rsidRDefault="004B3FCC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Loeb, Susanna, y Marianne Page, 2000, "Examining the link between teacher wages and student outcomes: The importance of alternative labor market opportunities and non-pecuniary variation",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Review of Economics and Statistics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, vol. 82, núm. 3, pp. 393-408.</w:t>
            </w:r>
          </w:p>
          <w:p w:rsidR="004B3FCC" w:rsidRPr="00E96CD5" w:rsidRDefault="004B3FCC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Lovenheim, Michael y Sarah Turner. 2017</w:t>
            </w:r>
            <w:r w:rsidRPr="00E96CD5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 </w:t>
            </w:r>
            <w:r w:rsidRPr="00E96CD5">
              <w:rPr>
                <w:rStyle w:val="il"/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Economics</w:t>
            </w:r>
            <w:r w:rsidRPr="00E96CD5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 of </w:t>
            </w:r>
            <w:r w:rsidRPr="00E96CD5">
              <w:rPr>
                <w:rStyle w:val="il"/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Education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 Basingstoke: Worth Publishers.</w:t>
            </w:r>
          </w:p>
          <w:p w:rsidR="00FF05A5" w:rsidRPr="00E96CD5" w:rsidRDefault="00FF05A5" w:rsidP="008B370D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Mincer, Jacob, 1962, “On-the-Job-Training: Costs, Returns and Some Implications”,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Journal of Political Economy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nú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m.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70, pp. 50-79.</w:t>
            </w:r>
          </w:p>
          <w:p w:rsidR="00FF05A5" w:rsidRPr="00E96CD5" w:rsidRDefault="00CB5CA5" w:rsidP="008B370D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Mincer, Jacob</w:t>
            </w:r>
            <w:r w:rsidR="00FF05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, 1974, </w:t>
            </w:r>
            <w:r w:rsidR="00FF05A5"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  <w:lang w:val="en-US"/>
              </w:rPr>
              <w:t>Schooling, experience and earnings</w:t>
            </w:r>
            <w:r w:rsidR="00FF05A5" w:rsidRPr="00E96CD5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, New York, Columbia University Press.</w:t>
            </w:r>
          </w:p>
          <w:p w:rsidR="004B3FCC" w:rsidRPr="001A0227" w:rsidRDefault="00FF05A5" w:rsidP="004B3FCC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Rojas, et al.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2000, “Rentabilidad de la Inversión en Capital Humano en México”, </w:t>
            </w:r>
            <w:r w:rsidRPr="00E96CD5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Economía Mexicana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</w:t>
            </w:r>
            <w:r w:rsidR="00CB5CA5" w:rsidRPr="00E96CD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vol. </w:t>
            </w:r>
            <w:r w:rsidR="00CB5CA5" w:rsidRPr="001A0227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IX, nú</w:t>
            </w:r>
            <w:r w:rsidRPr="001A0227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m. 2.</w:t>
            </w:r>
          </w:p>
          <w:p w:rsidR="00743428" w:rsidRPr="00E96CD5" w:rsidRDefault="004B3FCC" w:rsidP="00743428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Sacerdote, Bruce, 2011, Peer effects in education: How might they work, how big are they and how much do we know thus far. </w:t>
            </w:r>
            <w:r w:rsidRPr="00E96CD5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Handbook of the Economics of Education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, vol. </w:t>
            </w:r>
            <w:r w:rsidRPr="00E96CD5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3, núm. 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3, pp.249-277.</w:t>
            </w:r>
          </w:p>
          <w:p w:rsidR="00743428" w:rsidRDefault="00743428" w:rsidP="00743428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Skoufias, Emmanuel, Susan W. Parker, Jere R. Behrman, y Carola Pessino, 2001, "Conditional cash transfers and their impact on child work and schooling: Evidence from the PROGRESA program in Mexico", </w:t>
            </w:r>
            <w:r w:rsidRPr="00E96CD5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Economia</w:t>
            </w:r>
            <w:r w:rsidRPr="00E96CD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, vol. 2, núm, pp. 45-96.</w:t>
            </w:r>
          </w:p>
          <w:p w:rsidR="001B4959" w:rsidRPr="00E96CD5" w:rsidRDefault="001B4959" w:rsidP="00743428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9570DD" w:rsidRPr="00743428" w:rsidRDefault="009570DD">
      <w:pPr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9570DD" w:rsidRPr="00743428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04" w:rsidRDefault="004A0704" w:rsidP="00EA7DE6">
      <w:pPr>
        <w:spacing w:after="0" w:line="240" w:lineRule="auto"/>
      </w:pPr>
      <w:r>
        <w:separator/>
      </w:r>
    </w:p>
  </w:endnote>
  <w:endnote w:type="continuationSeparator" w:id="0">
    <w:p w:rsidR="004A0704" w:rsidRDefault="004A0704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04" w:rsidRPr="00FB2AA3" w:rsidRDefault="004A0704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0C5E42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0C5E42">
      <w:rPr>
        <w:rFonts w:ascii="Tahoma" w:hAnsi="Tahoma" w:cs="Tahoma"/>
        <w:noProof/>
        <w:sz w:val="16"/>
        <w:szCs w:val="16"/>
      </w:rPr>
      <w:t>3</w:t>
    </w:r>
    <w:r w:rsidRPr="00FB2AA3">
      <w:rPr>
        <w:rFonts w:ascii="Tahoma" w:hAnsi="Tahoma" w:cs="Tahoma"/>
        <w:sz w:val="16"/>
        <w:szCs w:val="16"/>
      </w:rPr>
      <w:fldChar w:fldCharType="end"/>
    </w:r>
  </w:p>
  <w:p w:rsidR="004A0704" w:rsidRDefault="004A0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04" w:rsidRDefault="004A0704" w:rsidP="00EA7DE6">
      <w:pPr>
        <w:spacing w:after="0" w:line="240" w:lineRule="auto"/>
      </w:pPr>
      <w:r>
        <w:separator/>
      </w:r>
    </w:p>
  </w:footnote>
  <w:footnote w:type="continuationSeparator" w:id="0">
    <w:p w:rsidR="004A0704" w:rsidRDefault="004A0704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04" w:rsidRDefault="000C5E42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3C06B5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3.75pt;margin-top:-15.55pt;width:299.35pt;height:43.4pt;z-index:251656192;mso-height-percent:200;mso-height-percent:200;mso-width-relative:margin;mso-height-relative:margin" stroked="f">
          <v:textbox style="mso-next-textbox:#_x0000_s2050;mso-fit-shape-to-text:t">
            <w:txbxContent>
              <w:p w:rsidR="004A0704" w:rsidRPr="00596158" w:rsidRDefault="004A0704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4A0704" w:rsidRPr="00596158" w:rsidRDefault="004A0704" w:rsidP="005574B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 xml:space="preserve">Maestría en </w:t>
                </w:r>
                <w:r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>Economía Aplicada</w:t>
                </w:r>
              </w:p>
            </w:txbxContent>
          </v:textbox>
        </v:shape>
      </w:pict>
    </w:r>
    <w:r>
      <w:rPr>
        <w:noProof/>
        <w:lang w:eastAsia="zh-TW"/>
      </w:rPr>
      <w:pict w14:anchorId="3C06B5FD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4A0704" w:rsidRPr="00244FF1" w:rsidRDefault="004A0704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3C06B606" wp14:editId="3C06B607">
                      <wp:extent cx="1680845" cy="531495"/>
                      <wp:effectExtent l="19050" t="0" r="0" b="0"/>
                      <wp:docPr id="14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04" w:rsidRDefault="000C5E42">
    <w:pPr>
      <w:pStyle w:val="Header"/>
    </w:pPr>
    <w:r>
      <w:rPr>
        <w:noProof/>
        <w:lang w:val="en-US" w:bidi="ar-SA"/>
      </w:rPr>
      <w:pict w14:anchorId="3C06B5F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4A0704" w:rsidRPr="00244FF1" w:rsidRDefault="004A0704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3C06B608" wp14:editId="3C06B609">
                      <wp:extent cx="1680845" cy="531495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3C06B5FF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4A0704" w:rsidRPr="00596158" w:rsidRDefault="004A0704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4A0704" w:rsidRPr="00596158" w:rsidRDefault="004A0704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FD"/>
    <w:multiLevelType w:val="multilevel"/>
    <w:tmpl w:val="0A4C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6D1382"/>
    <w:multiLevelType w:val="multilevel"/>
    <w:tmpl w:val="0A4C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56DD8"/>
    <w:multiLevelType w:val="multilevel"/>
    <w:tmpl w:val="0A4C74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A53A24"/>
    <w:multiLevelType w:val="hybridMultilevel"/>
    <w:tmpl w:val="779AD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30F0C"/>
    <w:multiLevelType w:val="multilevel"/>
    <w:tmpl w:val="0A4C7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07224E"/>
    <w:multiLevelType w:val="multilevel"/>
    <w:tmpl w:val="778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AB382E"/>
    <w:multiLevelType w:val="multilevel"/>
    <w:tmpl w:val="0A4C74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93691B"/>
    <w:multiLevelType w:val="multilevel"/>
    <w:tmpl w:val="0A4C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C831AC"/>
    <w:multiLevelType w:val="hybridMultilevel"/>
    <w:tmpl w:val="7D3E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B71CA"/>
    <w:multiLevelType w:val="hybridMultilevel"/>
    <w:tmpl w:val="51128B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7B4"/>
    <w:multiLevelType w:val="hybridMultilevel"/>
    <w:tmpl w:val="0CF2F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52AF53A0"/>
    <w:multiLevelType w:val="hybridMultilevel"/>
    <w:tmpl w:val="002E3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D781E"/>
    <w:multiLevelType w:val="multilevel"/>
    <w:tmpl w:val="0A4C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2B2925"/>
    <w:multiLevelType w:val="multilevel"/>
    <w:tmpl w:val="0A4C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265823"/>
    <w:multiLevelType w:val="multilevel"/>
    <w:tmpl w:val="DCDA4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7AA2D40"/>
    <w:multiLevelType w:val="multilevel"/>
    <w:tmpl w:val="DCDA4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6700F4"/>
    <w:multiLevelType w:val="multilevel"/>
    <w:tmpl w:val="0A4C7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87D417A"/>
    <w:multiLevelType w:val="hybridMultilevel"/>
    <w:tmpl w:val="698C8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8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14"/>
  </w:num>
  <w:num w:numId="12">
    <w:abstractNumId w:val="17"/>
  </w:num>
  <w:num w:numId="13">
    <w:abstractNumId w:val="0"/>
  </w:num>
  <w:num w:numId="14">
    <w:abstractNumId w:val="2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159C"/>
    <w:rsid w:val="000059FE"/>
    <w:rsid w:val="00017EB5"/>
    <w:rsid w:val="000307EE"/>
    <w:rsid w:val="000978F1"/>
    <w:rsid w:val="000A1F68"/>
    <w:rsid w:val="000C5E42"/>
    <w:rsid w:val="000D0BE6"/>
    <w:rsid w:val="000E2F46"/>
    <w:rsid w:val="000F551B"/>
    <w:rsid w:val="000F61F7"/>
    <w:rsid w:val="00181324"/>
    <w:rsid w:val="0018773C"/>
    <w:rsid w:val="00196985"/>
    <w:rsid w:val="001A0227"/>
    <w:rsid w:val="001A3489"/>
    <w:rsid w:val="001B4959"/>
    <w:rsid w:val="001D5516"/>
    <w:rsid w:val="001D6D68"/>
    <w:rsid w:val="001E28E2"/>
    <w:rsid w:val="00200CFD"/>
    <w:rsid w:val="002230EB"/>
    <w:rsid w:val="002410CE"/>
    <w:rsid w:val="00244FF1"/>
    <w:rsid w:val="002B09FF"/>
    <w:rsid w:val="002B2C5B"/>
    <w:rsid w:val="002B4819"/>
    <w:rsid w:val="00300740"/>
    <w:rsid w:val="00317666"/>
    <w:rsid w:val="00375533"/>
    <w:rsid w:val="003809FD"/>
    <w:rsid w:val="003B19FD"/>
    <w:rsid w:val="003B67F1"/>
    <w:rsid w:val="003D1019"/>
    <w:rsid w:val="0040712C"/>
    <w:rsid w:val="004079EF"/>
    <w:rsid w:val="00431B7B"/>
    <w:rsid w:val="00457E20"/>
    <w:rsid w:val="00466399"/>
    <w:rsid w:val="004834C9"/>
    <w:rsid w:val="00487DE5"/>
    <w:rsid w:val="004A0704"/>
    <w:rsid w:val="004A2F44"/>
    <w:rsid w:val="004B3FCC"/>
    <w:rsid w:val="004C50F4"/>
    <w:rsid w:val="004E228A"/>
    <w:rsid w:val="004F688D"/>
    <w:rsid w:val="0050234C"/>
    <w:rsid w:val="00514821"/>
    <w:rsid w:val="00515EE2"/>
    <w:rsid w:val="00517E51"/>
    <w:rsid w:val="005574B1"/>
    <w:rsid w:val="00567926"/>
    <w:rsid w:val="0057161E"/>
    <w:rsid w:val="00592F09"/>
    <w:rsid w:val="00596158"/>
    <w:rsid w:val="005C4C6A"/>
    <w:rsid w:val="005C638C"/>
    <w:rsid w:val="005C689A"/>
    <w:rsid w:val="005D1B26"/>
    <w:rsid w:val="005E31F7"/>
    <w:rsid w:val="005E5E08"/>
    <w:rsid w:val="005E7325"/>
    <w:rsid w:val="005F24AD"/>
    <w:rsid w:val="00612460"/>
    <w:rsid w:val="00634C07"/>
    <w:rsid w:val="006B5F49"/>
    <w:rsid w:val="006D0EE9"/>
    <w:rsid w:val="006E553A"/>
    <w:rsid w:val="006F3069"/>
    <w:rsid w:val="00705418"/>
    <w:rsid w:val="00711C3F"/>
    <w:rsid w:val="00743428"/>
    <w:rsid w:val="00743468"/>
    <w:rsid w:val="007639FD"/>
    <w:rsid w:val="00777A23"/>
    <w:rsid w:val="007A212B"/>
    <w:rsid w:val="007A400B"/>
    <w:rsid w:val="00820272"/>
    <w:rsid w:val="008436BC"/>
    <w:rsid w:val="008466F8"/>
    <w:rsid w:val="008662CD"/>
    <w:rsid w:val="0087025A"/>
    <w:rsid w:val="008B370D"/>
    <w:rsid w:val="008B3C53"/>
    <w:rsid w:val="008D25CA"/>
    <w:rsid w:val="008E784F"/>
    <w:rsid w:val="009019BA"/>
    <w:rsid w:val="0093036E"/>
    <w:rsid w:val="00947AFF"/>
    <w:rsid w:val="00947B86"/>
    <w:rsid w:val="00953B85"/>
    <w:rsid w:val="00953D66"/>
    <w:rsid w:val="009570DD"/>
    <w:rsid w:val="0097003B"/>
    <w:rsid w:val="00971E49"/>
    <w:rsid w:val="009775ED"/>
    <w:rsid w:val="009A353F"/>
    <w:rsid w:val="009B30E1"/>
    <w:rsid w:val="009B6F4D"/>
    <w:rsid w:val="009E32E3"/>
    <w:rsid w:val="009E45F6"/>
    <w:rsid w:val="009F48EC"/>
    <w:rsid w:val="00A8144F"/>
    <w:rsid w:val="00A82A81"/>
    <w:rsid w:val="00A90514"/>
    <w:rsid w:val="00A97E8E"/>
    <w:rsid w:val="00AE1E0E"/>
    <w:rsid w:val="00AE6FFF"/>
    <w:rsid w:val="00AF1846"/>
    <w:rsid w:val="00B22646"/>
    <w:rsid w:val="00B72121"/>
    <w:rsid w:val="00B73A35"/>
    <w:rsid w:val="00B7518E"/>
    <w:rsid w:val="00BB2C1A"/>
    <w:rsid w:val="00BD15BA"/>
    <w:rsid w:val="00BF380F"/>
    <w:rsid w:val="00C03CB4"/>
    <w:rsid w:val="00C1186A"/>
    <w:rsid w:val="00C20A62"/>
    <w:rsid w:val="00C225A5"/>
    <w:rsid w:val="00C22AF8"/>
    <w:rsid w:val="00C34FAD"/>
    <w:rsid w:val="00C43151"/>
    <w:rsid w:val="00C56A1A"/>
    <w:rsid w:val="00C768A5"/>
    <w:rsid w:val="00C843E7"/>
    <w:rsid w:val="00C94528"/>
    <w:rsid w:val="00C95B8B"/>
    <w:rsid w:val="00CA6613"/>
    <w:rsid w:val="00CB5CA5"/>
    <w:rsid w:val="00CC0A78"/>
    <w:rsid w:val="00CE0A71"/>
    <w:rsid w:val="00CE1BA1"/>
    <w:rsid w:val="00CE7740"/>
    <w:rsid w:val="00D0099B"/>
    <w:rsid w:val="00D15B7B"/>
    <w:rsid w:val="00D404BE"/>
    <w:rsid w:val="00D57F5D"/>
    <w:rsid w:val="00D71502"/>
    <w:rsid w:val="00D8416C"/>
    <w:rsid w:val="00D90D2F"/>
    <w:rsid w:val="00DB5D4F"/>
    <w:rsid w:val="00DE36E7"/>
    <w:rsid w:val="00DE62FB"/>
    <w:rsid w:val="00DF46AA"/>
    <w:rsid w:val="00E03234"/>
    <w:rsid w:val="00E06D04"/>
    <w:rsid w:val="00E13F7E"/>
    <w:rsid w:val="00E16B7A"/>
    <w:rsid w:val="00E16EEC"/>
    <w:rsid w:val="00E17663"/>
    <w:rsid w:val="00E268F2"/>
    <w:rsid w:val="00E30A96"/>
    <w:rsid w:val="00E4439E"/>
    <w:rsid w:val="00E52861"/>
    <w:rsid w:val="00E57255"/>
    <w:rsid w:val="00E61EA2"/>
    <w:rsid w:val="00E75402"/>
    <w:rsid w:val="00E82E0D"/>
    <w:rsid w:val="00E96CD5"/>
    <w:rsid w:val="00EA7DE6"/>
    <w:rsid w:val="00ED5F56"/>
    <w:rsid w:val="00F0114D"/>
    <w:rsid w:val="00F10817"/>
    <w:rsid w:val="00F3349C"/>
    <w:rsid w:val="00F3763D"/>
    <w:rsid w:val="00F46ACC"/>
    <w:rsid w:val="00F558C6"/>
    <w:rsid w:val="00F7339F"/>
    <w:rsid w:val="00F76AB3"/>
    <w:rsid w:val="00F822EE"/>
    <w:rsid w:val="00F94C0B"/>
    <w:rsid w:val="00FA0FF2"/>
    <w:rsid w:val="00FA506D"/>
    <w:rsid w:val="00FA742C"/>
    <w:rsid w:val="00FD178E"/>
    <w:rsid w:val="00FE0E2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link w:val="BodyTextChar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Style3">
    <w:name w:val="Style 3"/>
    <w:rsid w:val="00196985"/>
    <w:pPr>
      <w:widowControl w:val="0"/>
      <w:autoSpaceDE w:val="0"/>
      <w:autoSpaceDN w:val="0"/>
      <w:spacing w:line="278" w:lineRule="auto"/>
    </w:pPr>
    <w:rPr>
      <w:rFonts w:ascii="Times New Roman" w:eastAsia="Arial Unicode MS" w:hAnsi="Times New Roman" w:cs="Arial Unicode MS"/>
      <w:sz w:val="24"/>
      <w:szCs w:val="24"/>
      <w:lang w:val="en-US" w:eastAsia="en-US"/>
    </w:rPr>
  </w:style>
  <w:style w:type="paragraph" w:customStyle="1" w:styleId="Style1">
    <w:name w:val="Style 1"/>
    <w:rsid w:val="00196985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  <w:lang w:val="en-US" w:eastAsia="en-US"/>
    </w:rPr>
  </w:style>
  <w:style w:type="character" w:customStyle="1" w:styleId="CharacterStyle1">
    <w:name w:val="Character Style 1"/>
    <w:rsid w:val="00196985"/>
    <w:rPr>
      <w:sz w:val="20"/>
    </w:rPr>
  </w:style>
  <w:style w:type="paragraph" w:styleId="ListParagraph">
    <w:name w:val="List Paragraph"/>
    <w:basedOn w:val="Normal"/>
    <w:uiPriority w:val="34"/>
    <w:qFormat/>
    <w:rsid w:val="00FF05A5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customStyle="1" w:styleId="Prrafodelista1">
    <w:name w:val="Párrafo de lista1"/>
    <w:basedOn w:val="Normal"/>
    <w:uiPriority w:val="34"/>
    <w:qFormat/>
    <w:rsid w:val="00FF05A5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character" w:customStyle="1" w:styleId="BodyTextChar">
    <w:name w:val="Body Text Char"/>
    <w:link w:val="BodyText"/>
    <w:rsid w:val="00FF05A5"/>
    <w:rPr>
      <w:rFonts w:ascii="Times New Roman" w:hAnsi="Times New Roman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4B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1107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MEA</dc:creator>
  <cp:lastModifiedBy>María Claudia Verduzco Zepeda</cp:lastModifiedBy>
  <cp:revision>12</cp:revision>
  <cp:lastPrinted>2014-09-29T20:56:00Z</cp:lastPrinted>
  <dcterms:created xsi:type="dcterms:W3CDTF">2017-09-16T23:41:00Z</dcterms:created>
  <dcterms:modified xsi:type="dcterms:W3CDTF">2018-12-05T21:43:00Z</dcterms:modified>
</cp:coreProperties>
</file>